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96ED3" w14:textId="4B08779F" w:rsidR="008C64D6" w:rsidRPr="001D7162" w:rsidRDefault="007C73DC" w:rsidP="00BE0F41">
      <w:pPr>
        <w:pStyle w:val="Heading"/>
        <w:spacing w:line="276" w:lineRule="auto"/>
        <w:jc w:val="right"/>
        <w:rPr>
          <w:rFonts w:ascii="Tahoma" w:hAnsi="Tahoma" w:cs="Tahoma"/>
          <w:sz w:val="26"/>
        </w:rPr>
      </w:pPr>
      <w:r>
        <w:rPr>
          <w:rFonts w:cs="Tahoma"/>
          <w:b w:val="0"/>
          <w:sz w:val="22"/>
          <w:szCs w:val="22"/>
        </w:rPr>
        <w:t>30</w:t>
      </w:r>
      <w:r w:rsidR="005928E8">
        <w:rPr>
          <w:rFonts w:cs="Tahoma"/>
          <w:b w:val="0"/>
          <w:sz w:val="22"/>
          <w:szCs w:val="22"/>
        </w:rPr>
        <w:t xml:space="preserve"> October 2015</w:t>
      </w:r>
    </w:p>
    <w:p w14:paraId="60AD5D8E" w14:textId="77777777" w:rsidR="008C64D6" w:rsidRPr="001D7162" w:rsidRDefault="008C64D6" w:rsidP="00BE0F41">
      <w:pPr>
        <w:pStyle w:val="Heading"/>
        <w:spacing w:line="276" w:lineRule="auto"/>
        <w:jc w:val="center"/>
        <w:rPr>
          <w:rFonts w:cs="Tahoma"/>
          <w:szCs w:val="24"/>
        </w:rPr>
      </w:pPr>
      <w:r w:rsidRPr="001D7162">
        <w:rPr>
          <w:rFonts w:cs="Tahoma"/>
          <w:szCs w:val="24"/>
        </w:rPr>
        <w:t xml:space="preserve">UNICEF Office of Research—Innocenti </w:t>
      </w:r>
    </w:p>
    <w:p w14:paraId="75EB06AC" w14:textId="77777777" w:rsidR="008C64D6" w:rsidRPr="001D7162" w:rsidRDefault="008C64D6" w:rsidP="00BE0F41">
      <w:pPr>
        <w:pStyle w:val="Heading"/>
        <w:spacing w:line="276" w:lineRule="auto"/>
        <w:jc w:val="center"/>
        <w:rPr>
          <w:rFonts w:cs="Tahoma"/>
          <w:szCs w:val="24"/>
        </w:rPr>
      </w:pPr>
      <w:r w:rsidRPr="001D7162">
        <w:rPr>
          <w:rFonts w:cs="Tahoma"/>
          <w:szCs w:val="24"/>
        </w:rPr>
        <w:t xml:space="preserve">Terms of Reference </w:t>
      </w:r>
    </w:p>
    <w:p w14:paraId="546BD883" w14:textId="77777777" w:rsidR="008C64D6" w:rsidRPr="001D7162" w:rsidRDefault="008C64D6" w:rsidP="00BE0F41">
      <w:pPr>
        <w:pStyle w:val="Heading"/>
        <w:spacing w:line="276" w:lineRule="auto"/>
        <w:rPr>
          <w:rFonts w:cs="Tahoma"/>
          <w:szCs w:val="24"/>
        </w:rPr>
      </w:pPr>
    </w:p>
    <w:p w14:paraId="485E0650" w14:textId="19DD28EA" w:rsidR="008C64D6" w:rsidRPr="001D7162" w:rsidRDefault="008C64D6" w:rsidP="00BE0F41">
      <w:pPr>
        <w:jc w:val="center"/>
        <w:rPr>
          <w:rFonts w:cs="Times New Roman"/>
          <w:sz w:val="24"/>
          <w:szCs w:val="24"/>
        </w:rPr>
      </w:pPr>
      <w:r w:rsidRPr="001D7162">
        <w:rPr>
          <w:rFonts w:cs="Tahoma"/>
          <w:sz w:val="24"/>
          <w:szCs w:val="24"/>
        </w:rPr>
        <w:t xml:space="preserve">Consultancy </w:t>
      </w:r>
      <w:r w:rsidR="00BE0F41">
        <w:rPr>
          <w:rFonts w:cs="Tahoma"/>
          <w:sz w:val="24"/>
          <w:szCs w:val="24"/>
        </w:rPr>
        <w:t xml:space="preserve">for international academic expert </w:t>
      </w:r>
      <w:r>
        <w:rPr>
          <w:rFonts w:cs="Tahoma"/>
          <w:sz w:val="24"/>
          <w:szCs w:val="24"/>
        </w:rPr>
        <w:t xml:space="preserve">to conduct desk-based study on </w:t>
      </w:r>
      <w:r w:rsidR="00EB2572">
        <w:rPr>
          <w:rFonts w:cs="Tahoma"/>
          <w:sz w:val="24"/>
          <w:szCs w:val="24"/>
        </w:rPr>
        <w:t>“</w:t>
      </w:r>
      <w:r w:rsidR="00E40ECB">
        <w:rPr>
          <w:rFonts w:cs="Tahoma"/>
          <w:sz w:val="24"/>
          <w:szCs w:val="24"/>
        </w:rPr>
        <w:t>Integrating cash with complementary services: Strategies for Success”</w:t>
      </w:r>
    </w:p>
    <w:p w14:paraId="5A24F40B" w14:textId="77777777" w:rsidR="008C64D6" w:rsidRPr="001D7162" w:rsidRDefault="008C64D6" w:rsidP="00BE0F41">
      <w:pPr>
        <w:numPr>
          <w:ilvl w:val="0"/>
          <w:numId w:val="1"/>
        </w:numPr>
        <w:tabs>
          <w:tab w:val="left" w:pos="2160"/>
        </w:tabs>
        <w:spacing w:after="240"/>
        <w:ind w:left="461" w:hanging="461"/>
        <w:jc w:val="both"/>
        <w:rPr>
          <w:b/>
        </w:rPr>
      </w:pPr>
      <w:r w:rsidRPr="001D7162">
        <w:rPr>
          <w:b/>
        </w:rPr>
        <w:t>Background</w:t>
      </w:r>
      <w:r w:rsidRPr="001D7162">
        <w:t>:</w:t>
      </w:r>
    </w:p>
    <w:p w14:paraId="56B320B0" w14:textId="11477541" w:rsidR="00337198" w:rsidRPr="006C288A" w:rsidRDefault="00337198" w:rsidP="00BE0F41">
      <w:pPr>
        <w:jc w:val="both"/>
      </w:pPr>
      <w:r>
        <w:t xml:space="preserve">It is widely accepted and acknowledged that </w:t>
      </w:r>
      <w:r w:rsidRPr="006C288A">
        <w:t xml:space="preserve">social protection </w:t>
      </w:r>
      <w:r>
        <w:t>initiatives</w:t>
      </w:r>
      <w:r w:rsidRPr="006C288A">
        <w:t>, if adequately designed, can simultaneously contribute to: (</w:t>
      </w:r>
      <w:proofErr w:type="spellStart"/>
      <w:r w:rsidRPr="006C288A">
        <w:t>i</w:t>
      </w:r>
      <w:proofErr w:type="spellEnd"/>
      <w:r w:rsidRPr="006C288A">
        <w:t xml:space="preserve">) the creation of a healthy and educated population that directly contributes to economic growth; (ii) the creation of a cushion against economic shocks that households and a country may </w:t>
      </w:r>
      <w:r>
        <w:t>experience</w:t>
      </w:r>
      <w:r w:rsidRPr="006C288A">
        <w:t>; (iii) eradication</w:t>
      </w:r>
      <w:r>
        <w:t xml:space="preserve"> of</w:t>
      </w:r>
      <w:r w:rsidRPr="006C288A">
        <w:t xml:space="preserve"> poverty and the</w:t>
      </w:r>
      <w:r>
        <w:t xml:space="preserve"> associated</w:t>
      </w:r>
      <w:r w:rsidRPr="006C288A">
        <w:t xml:space="preserve"> risks that households living in poverty face, such as abuse, violence and </w:t>
      </w:r>
      <w:r w:rsidRPr="00622062">
        <w:t xml:space="preserve">exploitation. Social Protection is a social, economic and political necessity for countries to reduce poverty and inequality, foster inclusive and sustainable economic growth as well as strengthen social cohesion. </w:t>
      </w:r>
      <w:r>
        <w:t>These programmes</w:t>
      </w:r>
      <w:r w:rsidR="001C6692">
        <w:t xml:space="preserve">, </w:t>
      </w:r>
      <w:r w:rsidRPr="00622062">
        <w:t xml:space="preserve">if properly designed and implemented to target the poorest and most vulnerable, have been shown to have significant long-term, transformative impacts for the household and </w:t>
      </w:r>
      <w:r>
        <w:t xml:space="preserve">the entire </w:t>
      </w:r>
      <w:r w:rsidRPr="00622062">
        <w:t>nation.</w:t>
      </w:r>
    </w:p>
    <w:p w14:paraId="30F9DFD9" w14:textId="77777777" w:rsidR="00337198" w:rsidRPr="006C288A" w:rsidRDefault="00337198" w:rsidP="00BE0F41">
      <w:pPr>
        <w:tabs>
          <w:tab w:val="left" w:pos="450"/>
        </w:tabs>
        <w:jc w:val="both"/>
      </w:pPr>
      <w:r w:rsidRPr="006C288A">
        <w:t xml:space="preserve">In Ghana, the emergence of Social Protection programmes has been guided by the </w:t>
      </w:r>
      <w:r>
        <w:t xml:space="preserve">Ghana </w:t>
      </w:r>
      <w:r w:rsidRPr="006C288A">
        <w:t>National Social Protection Strategy</w:t>
      </w:r>
      <w:r>
        <w:t xml:space="preserve"> (GNSPS)</w:t>
      </w:r>
      <w:r w:rsidRPr="006C288A">
        <w:t xml:space="preserve">. The GNSPS portrays social protection as integral to the overall development architecture of Ghana, which is rooted in the human rights-driven philosophy of the 1992 Constitution. The </w:t>
      </w:r>
      <w:r>
        <w:t>s</w:t>
      </w:r>
      <w:r w:rsidRPr="006C288A">
        <w:t xml:space="preserve">trategy, developed in 2007 and revised in 2012, aims to spearhead the prioritization of sector-wide social protection interventions and to facilitate collaborative implementation of social protection in Ghana, </w:t>
      </w:r>
      <w:r>
        <w:t xml:space="preserve">to </w:t>
      </w:r>
      <w:r w:rsidRPr="006C288A">
        <w:t>ensure that people are able to live in dignity through income support, livelihoods empowerment and improved systems of personal safety.</w:t>
      </w:r>
    </w:p>
    <w:p w14:paraId="7D0D4E7C" w14:textId="77777777" w:rsidR="00337198" w:rsidRDefault="00337198" w:rsidP="00BE0F41">
      <w:pPr>
        <w:tabs>
          <w:tab w:val="left" w:pos="450"/>
        </w:tabs>
        <w:jc w:val="both"/>
        <w:rPr>
          <w:rFonts w:cs="Times New Roman"/>
          <w:b/>
        </w:rPr>
      </w:pPr>
      <w:r>
        <w:t xml:space="preserve">In January 2013, </w:t>
      </w:r>
      <w:r w:rsidRPr="006C288A">
        <w:t>the government of Ghana</w:t>
      </w:r>
      <w:r>
        <w:t xml:space="preserve"> </w:t>
      </w:r>
      <w:r w:rsidRPr="006C288A">
        <w:t>underscored the importance of social protection in its poverty reduction efforts by restructuring the Ministry of Women and Children under the new Ministry of Gender</w:t>
      </w:r>
      <w:r>
        <w:t>,</w:t>
      </w:r>
      <w:r w:rsidRPr="006C288A">
        <w:t xml:space="preserve"> Children and Social Protection (MGCSP). The new Ministry, in addition to </w:t>
      </w:r>
      <w:r w:rsidRPr="006C288A">
        <w:rPr>
          <w:rFonts w:cs="Times New Roman"/>
        </w:rPr>
        <w:t xml:space="preserve">having direct responsibilities for family support services, social work and alternative care for children living without parental care, </w:t>
      </w:r>
      <w:r>
        <w:rPr>
          <w:rFonts w:cs="Times New Roman"/>
        </w:rPr>
        <w:t xml:space="preserve">also </w:t>
      </w:r>
      <w:r w:rsidRPr="006C288A">
        <w:t xml:space="preserve">has the mandate to coordinate social protection interventions (e.g. National Health Insurance </w:t>
      </w:r>
      <w:r>
        <w:t>Scheme</w:t>
      </w:r>
      <w:r w:rsidRPr="006C288A">
        <w:t xml:space="preserve">-NHIS, </w:t>
      </w:r>
      <w:r>
        <w:t>s</w:t>
      </w:r>
      <w:r w:rsidRPr="006C288A">
        <w:t>chool feeding, free school uniform</w:t>
      </w:r>
      <w:r>
        <w:t>,</w:t>
      </w:r>
      <w:r w:rsidRPr="006C288A">
        <w:t xml:space="preserve"> to name a few) across the multiple government implementing agencies, as well as implementing the flagship GNSPS programme, the Liveli</w:t>
      </w:r>
      <w:r w:rsidRPr="006C288A">
        <w:rPr>
          <w:rFonts w:cs="Times New Roman"/>
        </w:rPr>
        <w:t>hoods</w:t>
      </w:r>
      <w:r w:rsidRPr="006C288A">
        <w:t xml:space="preserve"> </w:t>
      </w:r>
      <w:r w:rsidRPr="006C288A">
        <w:rPr>
          <w:rFonts w:cs="Times New Roman"/>
        </w:rPr>
        <w:t>Empowerment against Poverty (LEAP) programme</w:t>
      </w:r>
      <w:r>
        <w:rPr>
          <w:rFonts w:cs="Times New Roman"/>
        </w:rPr>
        <w:t>.</w:t>
      </w:r>
      <w:r w:rsidRPr="006C288A">
        <w:rPr>
          <w:rFonts w:cs="Times New Roman"/>
          <w:b/>
        </w:rPr>
        <w:t xml:space="preserve"> </w:t>
      </w:r>
    </w:p>
    <w:p w14:paraId="0288F645" w14:textId="77777777" w:rsidR="00337198" w:rsidRPr="009A7B66" w:rsidRDefault="00337198" w:rsidP="00BE0F41">
      <w:pPr>
        <w:jc w:val="both"/>
        <w:rPr>
          <w:b/>
        </w:rPr>
      </w:pPr>
      <w:r w:rsidRPr="009A7B66">
        <w:rPr>
          <w:b/>
        </w:rPr>
        <w:t xml:space="preserve">Knowledge and research gaps on Social Protection in Ghana </w:t>
      </w:r>
    </w:p>
    <w:p w14:paraId="5B5C550F" w14:textId="77777777" w:rsidR="00337198" w:rsidRDefault="00337198" w:rsidP="00BE0F41">
      <w:pPr>
        <w:jc w:val="both"/>
      </w:pPr>
      <w:r w:rsidRPr="006C288A">
        <w:t xml:space="preserve">While the commitment of the Government on poverty reduction and social protection is strong, </w:t>
      </w:r>
      <w:r>
        <w:t xml:space="preserve">a number of </w:t>
      </w:r>
      <w:r w:rsidRPr="006C288A">
        <w:t>challenges exist</w:t>
      </w:r>
      <w:r>
        <w:t xml:space="preserve"> with regard to scaling-up and prioritizing its efforts</w:t>
      </w:r>
      <w:r w:rsidRPr="006C288A">
        <w:t>.</w:t>
      </w:r>
      <w:r>
        <w:t xml:space="preserve"> As in many other countries, social protection in Ghana has not yet evolved into a system of well-coordinated and integrated interventions. Instead, it encompasses a number of different programmes of varying degree of scale and coverage with implications for their effectiveness and impact. The </w:t>
      </w:r>
      <w:r w:rsidRPr="006C288A">
        <w:t>program</w:t>
      </w:r>
      <w:r>
        <w:t xml:space="preserve">mes often lack </w:t>
      </w:r>
      <w:r w:rsidRPr="006C288A">
        <w:t>effective administrative</w:t>
      </w:r>
      <w:r>
        <w:t xml:space="preserve"> and</w:t>
      </w:r>
      <w:r w:rsidRPr="006C288A">
        <w:t xml:space="preserve"> </w:t>
      </w:r>
      <w:r>
        <w:t>m</w:t>
      </w:r>
      <w:r w:rsidRPr="006C288A">
        <w:t xml:space="preserve">onitoring and </w:t>
      </w:r>
      <w:r>
        <w:t>e</w:t>
      </w:r>
      <w:r w:rsidRPr="006C288A">
        <w:t xml:space="preserve">valuation </w:t>
      </w:r>
      <w:r>
        <w:t xml:space="preserve">as well as legal </w:t>
      </w:r>
      <w:r w:rsidRPr="006C288A">
        <w:t>framework</w:t>
      </w:r>
      <w:r>
        <w:t>s. A lack of r</w:t>
      </w:r>
      <w:r w:rsidRPr="006C288A">
        <w:t xml:space="preserve">igorous </w:t>
      </w:r>
      <w:r>
        <w:t>research and impact</w:t>
      </w:r>
      <w:r w:rsidRPr="006C288A">
        <w:t xml:space="preserve"> studies and information on the efficiency of </w:t>
      </w:r>
      <w:r>
        <w:t>some of the</w:t>
      </w:r>
      <w:r w:rsidRPr="006C288A">
        <w:t xml:space="preserve"> intervention</w:t>
      </w:r>
      <w:r>
        <w:t>s</w:t>
      </w:r>
      <w:r w:rsidRPr="006C288A">
        <w:t xml:space="preserve"> </w:t>
      </w:r>
      <w:r>
        <w:t>limit</w:t>
      </w:r>
      <w:r w:rsidRPr="006C288A">
        <w:t xml:space="preserve"> the appreciation of outcomes of the overall social protection system</w:t>
      </w:r>
      <w:r>
        <w:t xml:space="preserve"> and the development of </w:t>
      </w:r>
      <w:r w:rsidRPr="006C288A">
        <w:lastRenderedPageBreak/>
        <w:t>synergies and complementarities between programmes.</w:t>
      </w:r>
      <w:r>
        <w:t xml:space="preserve"> </w:t>
      </w:r>
      <w:r w:rsidRPr="006C288A">
        <w:t xml:space="preserve">Furthermore, </w:t>
      </w:r>
      <w:r>
        <w:t>a number of</w:t>
      </w:r>
      <w:r w:rsidRPr="006C288A">
        <w:t xml:space="preserve"> social protection interventions in Ghana </w:t>
      </w:r>
      <w:r>
        <w:t>have not</w:t>
      </w:r>
      <w:r w:rsidRPr="006C288A">
        <w:t xml:space="preserve"> </w:t>
      </w:r>
      <w:r>
        <w:t xml:space="preserve">yet been able to </w:t>
      </w:r>
      <w:r w:rsidRPr="006C288A">
        <w:t xml:space="preserve">exploit </w:t>
      </w:r>
      <w:r>
        <w:t>possible</w:t>
      </w:r>
      <w:r w:rsidRPr="006C288A">
        <w:t xml:space="preserve"> complementarities</w:t>
      </w:r>
      <w:r>
        <w:t xml:space="preserve"> and synergies</w:t>
      </w:r>
      <w:r w:rsidRPr="006C288A">
        <w:t xml:space="preserve"> </w:t>
      </w:r>
      <w:r>
        <w:t>in programming</w:t>
      </w:r>
      <w:r w:rsidRPr="006C288A">
        <w:t xml:space="preserve">, starting </w:t>
      </w:r>
      <w:r>
        <w:t>with</w:t>
      </w:r>
      <w:r w:rsidRPr="006C288A">
        <w:t xml:space="preserve"> different approaches to targeting the poor</w:t>
      </w:r>
      <w:r>
        <w:t>. T</w:t>
      </w:r>
      <w:r w:rsidRPr="006C288A">
        <w:t xml:space="preserve">his is due </w:t>
      </w:r>
      <w:r>
        <w:t xml:space="preserve">in large part </w:t>
      </w:r>
      <w:r w:rsidRPr="006C288A">
        <w:t>to the lack of a</w:t>
      </w:r>
      <w:r>
        <w:t xml:space="preserve"> well-established institutional, policy and legal </w:t>
      </w:r>
      <w:r w:rsidRPr="006C288A">
        <w:t>framework to coordinate implementation, and monitor and evaluate impacts of social protection measures</w:t>
      </w:r>
      <w:r w:rsidRPr="006C288A">
        <w:rPr>
          <w:rStyle w:val="FootnoteReference"/>
        </w:rPr>
        <w:footnoteReference w:id="1"/>
      </w:r>
      <w:r w:rsidRPr="006C288A">
        <w:t>.</w:t>
      </w:r>
      <w:r>
        <w:t xml:space="preserve">This is important because the experience of a number of Latin American countries such as Mexico and Brazil point to the essential role of research and evaluation in a) ensuring support across the political spectrum over time and in making the case for identifying </w:t>
      </w:r>
      <w:r w:rsidRPr="006C288A">
        <w:t xml:space="preserve">fiscal space </w:t>
      </w:r>
      <w:r>
        <w:t xml:space="preserve">and undertaking expenditure switching </w:t>
      </w:r>
      <w:r w:rsidRPr="006C288A">
        <w:t>to scale up (or scale down) successful (</w:t>
      </w:r>
      <w:r>
        <w:t>or unsuccessful) interventions and in b) contributing to shape the future models of social protection in these countries.</w:t>
      </w:r>
    </w:p>
    <w:p w14:paraId="00380FCD" w14:textId="77777777" w:rsidR="00337198" w:rsidRPr="0098395C" w:rsidRDefault="00337198" w:rsidP="00BE0F41">
      <w:pPr>
        <w:jc w:val="both"/>
      </w:pPr>
      <w:r w:rsidRPr="00AC25CF">
        <w:t>W</w:t>
      </w:r>
      <w:r w:rsidRPr="0098395C">
        <w:t xml:space="preserve">hile Social Protection in Ghana has the potential to significantly impact incomes, equity, and access to social services for the extreme poor and vulnerable, </w:t>
      </w:r>
      <w:r w:rsidRPr="00AC25CF">
        <w:t xml:space="preserve">the lack of rigorous research and studies on social protection may hinder achieving its potential. Developing a social protection system needs to be driven by up-to-date </w:t>
      </w:r>
      <w:r w:rsidRPr="0098395C">
        <w:t>evidence</w:t>
      </w:r>
      <w:r w:rsidRPr="00AC25CF">
        <w:t>-based research as well</w:t>
      </w:r>
      <w:r w:rsidRPr="0098395C">
        <w:t xml:space="preserve"> </w:t>
      </w:r>
      <w:r w:rsidRPr="00AC25CF">
        <w:t>as comparative</w:t>
      </w:r>
      <w:r w:rsidRPr="0098395C">
        <w:t xml:space="preserve"> research that can support actions</w:t>
      </w:r>
      <w:r w:rsidRPr="00AC25CF">
        <w:t xml:space="preserve"> and strategies</w:t>
      </w:r>
      <w:r w:rsidRPr="0098395C">
        <w:t xml:space="preserve"> in the realm of legal frameworks, policy processes, coordination and system approach</w:t>
      </w:r>
      <w:r w:rsidRPr="00AC25CF">
        <w:t>,</w:t>
      </w:r>
      <w:r w:rsidRPr="0098395C">
        <w:t xml:space="preserve"> to shape the present and </w:t>
      </w:r>
      <w:r w:rsidRPr="00AC25CF">
        <w:t>future models for social protection for Ghana.</w:t>
      </w:r>
      <w:r w:rsidRPr="0098395C">
        <w:t xml:space="preserve"> </w:t>
      </w:r>
    </w:p>
    <w:p w14:paraId="01C2CC72" w14:textId="77777777" w:rsidR="008C64D6" w:rsidRDefault="00337198" w:rsidP="00BE0F41">
      <w:pPr>
        <w:jc w:val="both"/>
        <w:rPr>
          <w:rFonts w:cs="Times New Roman"/>
        </w:rPr>
      </w:pPr>
      <w:r>
        <w:rPr>
          <w:rFonts w:cs="Times New Roman"/>
        </w:rPr>
        <w:t xml:space="preserve">To provide comprehensive research and evidence for UNICEF and the Government of Ghana’s work on social protection, </w:t>
      </w:r>
      <w:r>
        <w:rPr>
          <w:rFonts w:eastAsia="Times New Roman"/>
        </w:rPr>
        <w:t>UNICEF Office of Research – Innocenti and UNICEF Ghana are collaborating on</w:t>
      </w:r>
      <w:r w:rsidR="008C64D6">
        <w:rPr>
          <w:rFonts w:eastAsia="Times New Roman"/>
        </w:rPr>
        <w:t xml:space="preserve"> a Social Protection Thematic Research program</w:t>
      </w:r>
      <w:r>
        <w:rPr>
          <w:rFonts w:eastAsia="Times New Roman"/>
        </w:rPr>
        <w:t>me</w:t>
      </w:r>
      <w:r w:rsidR="008C64D6">
        <w:rPr>
          <w:rFonts w:cs="Times New Roman"/>
        </w:rPr>
        <w:t>. The research program</w:t>
      </w:r>
      <w:r>
        <w:rPr>
          <w:rFonts w:cs="Times New Roman"/>
        </w:rPr>
        <w:t>me</w:t>
      </w:r>
      <w:r w:rsidR="008C64D6">
        <w:rPr>
          <w:rFonts w:cs="Times New Roman"/>
        </w:rPr>
        <w:t xml:space="preserve"> will produce a </w:t>
      </w:r>
      <w:r w:rsidR="004C2237">
        <w:rPr>
          <w:rFonts w:cs="Times New Roman"/>
        </w:rPr>
        <w:t xml:space="preserve">series of </w:t>
      </w:r>
      <w:r w:rsidR="008C64D6" w:rsidRPr="00A531D9">
        <w:rPr>
          <w:rFonts w:cs="Times New Roman"/>
          <w:b/>
        </w:rPr>
        <w:t xml:space="preserve">desk-based </w:t>
      </w:r>
      <w:r w:rsidR="008C64D6">
        <w:rPr>
          <w:rFonts w:cs="Times New Roman"/>
        </w:rPr>
        <w:t xml:space="preserve">social protection thematic studies. The scope of these studies is to add knowledge and evidence on how policy and legal frameworks can contribute to the development of an integrated social protection system in Ghana, the role of politics, and ethics in the process, enablers and barriers in expanding cash transfer schemes, linkages and complementarities among social protection </w:t>
      </w:r>
      <w:r w:rsidR="00AF2245">
        <w:rPr>
          <w:rFonts w:cs="Times New Roman"/>
        </w:rPr>
        <w:t>programme</w:t>
      </w:r>
      <w:r w:rsidR="008C64D6">
        <w:rPr>
          <w:rFonts w:cs="Times New Roman"/>
        </w:rPr>
        <w:t xml:space="preserve">s, among others. </w:t>
      </w:r>
    </w:p>
    <w:p w14:paraId="2929E1E5" w14:textId="77777777" w:rsidR="00AF52A1" w:rsidRDefault="00AF52A1" w:rsidP="00BE0F41">
      <w:pPr>
        <w:jc w:val="both"/>
        <w:rPr>
          <w:rFonts w:cs="Times New Roman"/>
        </w:rPr>
      </w:pPr>
      <w:r>
        <w:rPr>
          <w:rFonts w:cs="Times New Roman"/>
        </w:rPr>
        <w:t>Two thematic studies have been commissioned so far:</w:t>
      </w:r>
    </w:p>
    <w:p w14:paraId="46CBE40C" w14:textId="77777777" w:rsidR="00AF52A1" w:rsidRPr="00D64E22" w:rsidRDefault="00AF52A1" w:rsidP="00D64E22">
      <w:pPr>
        <w:pStyle w:val="ListParagraph"/>
        <w:numPr>
          <w:ilvl w:val="0"/>
          <w:numId w:val="16"/>
        </w:numPr>
        <w:spacing w:after="0"/>
        <w:jc w:val="both"/>
      </w:pPr>
      <w:r w:rsidRPr="00D64E22">
        <w:rPr>
          <w:rFonts w:cs="Times New Roman"/>
        </w:rPr>
        <w:t xml:space="preserve">#1 </w:t>
      </w:r>
      <w:r w:rsidRPr="00D64E22">
        <w:t>The Ethics of Poverty and Social Protection</w:t>
      </w:r>
    </w:p>
    <w:p w14:paraId="16F88075" w14:textId="77777777" w:rsidR="00AF52A1" w:rsidRPr="00D64E22" w:rsidRDefault="00AF52A1" w:rsidP="00D64E22">
      <w:pPr>
        <w:pStyle w:val="ListParagraph"/>
        <w:numPr>
          <w:ilvl w:val="0"/>
          <w:numId w:val="16"/>
        </w:numPr>
        <w:jc w:val="both"/>
      </w:pPr>
      <w:r w:rsidRPr="00D64E22">
        <w:t>#2 Policy and Legal Framework for National Social Protection Systems</w:t>
      </w:r>
    </w:p>
    <w:p w14:paraId="5664CD70" w14:textId="77777777" w:rsidR="00D64E22" w:rsidRPr="00D64E22" w:rsidRDefault="00D64E22" w:rsidP="00BE0F41">
      <w:pPr>
        <w:jc w:val="both"/>
        <w:rPr>
          <w:rFonts w:cs="Times New Roman"/>
        </w:rPr>
      </w:pPr>
      <w:r w:rsidRPr="00D64E22">
        <w:t>This T</w:t>
      </w:r>
      <w:r>
        <w:t xml:space="preserve">erms </w:t>
      </w:r>
      <w:r w:rsidRPr="00D64E22">
        <w:t>o</w:t>
      </w:r>
      <w:r>
        <w:t xml:space="preserve">f </w:t>
      </w:r>
      <w:r w:rsidRPr="00D64E22">
        <w:t>R</w:t>
      </w:r>
      <w:r>
        <w:t>eference refers to the third thematic paper in the series:</w:t>
      </w:r>
    </w:p>
    <w:p w14:paraId="742A1FB8" w14:textId="71113C8D" w:rsidR="00BE0F41" w:rsidRPr="00BE0F41" w:rsidRDefault="00EB2572" w:rsidP="00BE0F41">
      <w:pPr>
        <w:jc w:val="both"/>
        <w:rPr>
          <w:rFonts w:cs="Times New Roman"/>
          <w:b/>
          <w:bCs/>
        </w:rPr>
      </w:pPr>
      <w:r>
        <w:rPr>
          <w:rFonts w:cs="Times New Roman"/>
          <w:b/>
          <w:bCs/>
        </w:rPr>
        <w:t xml:space="preserve">Thematic paper #3: </w:t>
      </w:r>
      <w:r w:rsidR="00E40ECB">
        <w:rPr>
          <w:b/>
        </w:rPr>
        <w:t xml:space="preserve">Enhancing the impact of cash transfers through complementary programming </w:t>
      </w:r>
    </w:p>
    <w:p w14:paraId="0F0FD47A" w14:textId="2B1F767C" w:rsidR="00EB2572" w:rsidRDefault="00D64E22" w:rsidP="00EB2572">
      <w:pPr>
        <w:jc w:val="both"/>
        <w:rPr>
          <w:rFonts w:cs="Times New Roman"/>
          <w:lang w:val="en-US"/>
        </w:rPr>
      </w:pPr>
      <w:r>
        <w:rPr>
          <w:rFonts w:cs="Times New Roman"/>
        </w:rPr>
        <w:t>Since the early start of cash transfer programmes in Latin America, programme effects have been rigorously analysed and have consistently show</w:t>
      </w:r>
      <w:r w:rsidR="00A34861">
        <w:rPr>
          <w:rFonts w:cs="Times New Roman"/>
        </w:rPr>
        <w:t>n</w:t>
      </w:r>
      <w:r>
        <w:rPr>
          <w:rFonts w:cs="Times New Roman"/>
        </w:rPr>
        <w:t xml:space="preserve"> positive impacts on </w:t>
      </w:r>
      <w:r w:rsidR="00770D28">
        <w:rPr>
          <w:rFonts w:cs="Times New Roman"/>
        </w:rPr>
        <w:t xml:space="preserve">poverty, vulnerability, health and schooling of beneficiaries. </w:t>
      </w:r>
      <w:r w:rsidR="00230CA1">
        <w:rPr>
          <w:rFonts w:cs="Times New Roman"/>
        </w:rPr>
        <w:t>However, t</w:t>
      </w:r>
      <w:r w:rsidR="00230CA1" w:rsidRPr="00D64E22">
        <w:rPr>
          <w:rFonts w:cs="Times New Roman"/>
          <w:lang w:val="en-US"/>
        </w:rPr>
        <w:t>he effects of cash transfers combined with other complementary interventions</w:t>
      </w:r>
      <w:r w:rsidR="001C652B">
        <w:rPr>
          <w:rFonts w:cs="Times New Roman"/>
          <w:lang w:val="en-US"/>
        </w:rPr>
        <w:t xml:space="preserve"> (i.e. ‘Cash </w:t>
      </w:r>
      <w:proofErr w:type="spellStart"/>
      <w:r w:rsidR="001C652B">
        <w:rPr>
          <w:rFonts w:cs="Times New Roman"/>
          <w:lang w:val="en-US"/>
        </w:rPr>
        <w:t>Plus’</w:t>
      </w:r>
      <w:proofErr w:type="spellEnd"/>
      <w:r w:rsidR="001C652B">
        <w:rPr>
          <w:rFonts w:cs="Times New Roman"/>
          <w:lang w:val="en-US"/>
        </w:rPr>
        <w:t>)</w:t>
      </w:r>
      <w:r w:rsidR="00230CA1" w:rsidRPr="00D64E22">
        <w:rPr>
          <w:rFonts w:cs="Times New Roman"/>
          <w:lang w:val="en-US"/>
        </w:rPr>
        <w:t xml:space="preserve"> are less well known.</w:t>
      </w:r>
      <w:r w:rsidR="008357E8">
        <w:rPr>
          <w:rFonts w:cs="Times New Roman"/>
          <w:lang w:val="en-US"/>
        </w:rPr>
        <w:t xml:space="preserve"> </w:t>
      </w:r>
      <w:r w:rsidR="00E40ECB">
        <w:rPr>
          <w:rFonts w:cs="Times New Roman"/>
          <w:lang w:val="en-US"/>
        </w:rPr>
        <w:t xml:space="preserve">From a research side it is also not easy to </w:t>
      </w:r>
      <w:r w:rsidR="008357E8">
        <w:rPr>
          <w:rFonts w:cs="Times New Roman"/>
          <w:lang w:val="en-US"/>
        </w:rPr>
        <w:t>disentangle the effect of the ‘</w:t>
      </w:r>
      <w:proofErr w:type="gramStart"/>
      <w:r w:rsidR="008357E8">
        <w:rPr>
          <w:rFonts w:cs="Times New Roman"/>
          <w:lang w:val="en-US"/>
        </w:rPr>
        <w:t>plus’</w:t>
      </w:r>
      <w:proofErr w:type="gramEnd"/>
      <w:r w:rsidR="008357E8">
        <w:rPr>
          <w:rFonts w:cs="Times New Roman"/>
          <w:lang w:val="en-US"/>
        </w:rPr>
        <w:t xml:space="preserve"> from the ‘cash’.</w:t>
      </w:r>
      <w:r w:rsidR="005928E8">
        <w:rPr>
          <w:rFonts w:cs="Times New Roman"/>
          <w:lang w:val="en-US"/>
        </w:rPr>
        <w:t xml:space="preserve"> </w:t>
      </w:r>
      <w:r w:rsidR="00230CA1" w:rsidRPr="00D64E22">
        <w:rPr>
          <w:rFonts w:cs="Times New Roman"/>
          <w:lang w:val="en-US"/>
        </w:rPr>
        <w:t>C</w:t>
      </w:r>
      <w:r w:rsidR="00E40ECB">
        <w:rPr>
          <w:rFonts w:cs="Times New Roman"/>
          <w:lang w:val="en-US"/>
        </w:rPr>
        <w:t>omplementary programs include for example serv</w:t>
      </w:r>
      <w:r w:rsidR="00230CA1" w:rsidRPr="00D64E22">
        <w:rPr>
          <w:rFonts w:cs="Times New Roman"/>
          <w:lang w:val="en-US"/>
        </w:rPr>
        <w:t xml:space="preserve">ice extension, market enhancements, </w:t>
      </w:r>
      <w:r w:rsidR="00E40ECB">
        <w:rPr>
          <w:rFonts w:cs="Times New Roman"/>
          <w:lang w:val="en-US"/>
        </w:rPr>
        <w:t xml:space="preserve">school </w:t>
      </w:r>
      <w:r w:rsidR="00230CA1" w:rsidRPr="00D64E22">
        <w:rPr>
          <w:rFonts w:cs="Times New Roman"/>
          <w:lang w:val="en-US"/>
        </w:rPr>
        <w:t>fee</w:t>
      </w:r>
      <w:r w:rsidR="00E40ECB">
        <w:rPr>
          <w:rFonts w:cs="Times New Roman"/>
          <w:lang w:val="en-US"/>
        </w:rPr>
        <w:t xml:space="preserve"> waivers, health insurance waivers, </w:t>
      </w:r>
      <w:r w:rsidR="00964D57">
        <w:rPr>
          <w:rFonts w:cs="Times New Roman"/>
          <w:lang w:val="en-US"/>
        </w:rPr>
        <w:t>etc</w:t>
      </w:r>
      <w:r w:rsidR="00E40ECB">
        <w:rPr>
          <w:rFonts w:cs="Times New Roman"/>
          <w:lang w:val="en-US"/>
        </w:rPr>
        <w:t>.</w:t>
      </w:r>
    </w:p>
    <w:p w14:paraId="3D7D8855" w14:textId="759E367A" w:rsidR="00964D57" w:rsidRDefault="00964D57" w:rsidP="00964D57">
      <w:pPr>
        <w:jc w:val="both"/>
        <w:rPr>
          <w:rFonts w:cs="Times New Roman"/>
          <w:lang w:val="en-US"/>
        </w:rPr>
      </w:pPr>
      <w:r>
        <w:rPr>
          <w:rFonts w:cs="Times New Roman"/>
          <w:lang w:val="en-US"/>
        </w:rPr>
        <w:t>For the purpose of this research, we have identified t</w:t>
      </w:r>
      <w:r w:rsidR="00582F62">
        <w:rPr>
          <w:rFonts w:cs="Times New Roman"/>
          <w:lang w:val="en-US"/>
        </w:rPr>
        <w:t>hree</w:t>
      </w:r>
      <w:r>
        <w:rPr>
          <w:rFonts w:cs="Times New Roman"/>
          <w:lang w:val="en-US"/>
        </w:rPr>
        <w:t xml:space="preserve"> typologies of Cash </w:t>
      </w:r>
      <w:proofErr w:type="gramStart"/>
      <w:r>
        <w:rPr>
          <w:rFonts w:cs="Times New Roman"/>
          <w:lang w:val="en-US"/>
        </w:rPr>
        <w:t>Plus</w:t>
      </w:r>
      <w:proofErr w:type="gramEnd"/>
      <w:r>
        <w:rPr>
          <w:rFonts w:cs="Times New Roman"/>
          <w:lang w:val="en-US"/>
        </w:rPr>
        <w:t xml:space="preserve"> Interventions</w:t>
      </w:r>
      <w:r w:rsidR="006E3BE0">
        <w:rPr>
          <w:rFonts w:cs="Times New Roman"/>
          <w:lang w:val="en-US"/>
        </w:rPr>
        <w:t xml:space="preserve">: </w:t>
      </w:r>
    </w:p>
    <w:p w14:paraId="13E40983" w14:textId="255EB630" w:rsidR="00964D57" w:rsidRDefault="00964D57" w:rsidP="00964D57">
      <w:pPr>
        <w:jc w:val="both"/>
        <w:rPr>
          <w:rFonts w:cs="Times New Roman"/>
          <w:lang w:val="en-US"/>
        </w:rPr>
      </w:pPr>
      <w:r>
        <w:rPr>
          <w:rFonts w:cs="Times New Roman"/>
          <w:lang w:val="en-US"/>
        </w:rPr>
        <w:t xml:space="preserve">Typology 1: This typology includes cash transfer programs, both conditional </w:t>
      </w:r>
      <w:r w:rsidR="00981BD1">
        <w:rPr>
          <w:rFonts w:cs="Times New Roman"/>
          <w:lang w:val="en-US"/>
        </w:rPr>
        <w:t xml:space="preserve">and unconditional, that deliver additional benefits to the cash transfer beneficiaries, such as micronutrients or education equipment for the school going children. Here, the additional benefits are also managed </w:t>
      </w:r>
      <w:r w:rsidR="00981BD1" w:rsidRPr="002D664F">
        <w:rPr>
          <w:rFonts w:cs="Times New Roman"/>
          <w:u w:val="single"/>
          <w:lang w:val="en-US"/>
        </w:rPr>
        <w:t>within the cash transfer</w:t>
      </w:r>
      <w:r w:rsidR="00981BD1" w:rsidRPr="00981BD1">
        <w:rPr>
          <w:rFonts w:cs="Times New Roman"/>
          <w:lang w:val="en-US"/>
        </w:rPr>
        <w:t xml:space="preserve"> </w:t>
      </w:r>
      <w:r w:rsidR="00981BD1">
        <w:rPr>
          <w:rFonts w:cs="Times New Roman"/>
          <w:lang w:val="en-US"/>
        </w:rPr>
        <w:t xml:space="preserve">program and are </w:t>
      </w:r>
      <w:r w:rsidR="00981BD1" w:rsidRPr="002D664F">
        <w:rPr>
          <w:rFonts w:cs="Times New Roman"/>
          <w:u w:val="single"/>
          <w:lang w:val="en-US"/>
        </w:rPr>
        <w:t>ad-hoc benefits</w:t>
      </w:r>
      <w:r w:rsidR="00981BD1">
        <w:rPr>
          <w:rFonts w:cs="Times New Roman"/>
          <w:lang w:val="en-US"/>
        </w:rPr>
        <w:t xml:space="preserve"> designed and initiated to provide additional support the cash transfer beneficiaries. </w:t>
      </w:r>
    </w:p>
    <w:p w14:paraId="2E4D97E5" w14:textId="71531B10" w:rsidR="00981BD1" w:rsidRDefault="00981BD1" w:rsidP="00964D57">
      <w:pPr>
        <w:jc w:val="both"/>
        <w:rPr>
          <w:rFonts w:cs="Times New Roman"/>
          <w:lang w:val="en-US"/>
        </w:rPr>
      </w:pPr>
      <w:r>
        <w:rPr>
          <w:rFonts w:cs="Times New Roman"/>
          <w:lang w:val="en-US"/>
        </w:rPr>
        <w:t xml:space="preserve">Typology 2:  </w:t>
      </w:r>
      <w:r w:rsidR="00E40ECB">
        <w:rPr>
          <w:rFonts w:cs="Times New Roman"/>
          <w:lang w:val="en-US"/>
        </w:rPr>
        <w:t>T</w:t>
      </w:r>
      <w:r>
        <w:rPr>
          <w:rFonts w:cs="Times New Roman"/>
          <w:lang w:val="en-US"/>
        </w:rPr>
        <w:t xml:space="preserve">his typology refers to conditional cash transfer (CCT), which encourage households to comply with specific rules to be able to receive their cash transfer. These specific rules often </w:t>
      </w:r>
      <w:r w:rsidRPr="002D664F">
        <w:rPr>
          <w:rFonts w:cs="Times New Roman"/>
          <w:u w:val="single"/>
          <w:lang w:val="en-US"/>
        </w:rPr>
        <w:t>compel</w:t>
      </w:r>
      <w:r>
        <w:rPr>
          <w:rFonts w:cs="Times New Roman"/>
          <w:lang w:val="en-US"/>
        </w:rPr>
        <w:t xml:space="preserve"> household</w:t>
      </w:r>
      <w:r w:rsidR="0000451C">
        <w:rPr>
          <w:rFonts w:cs="Times New Roman"/>
          <w:lang w:val="en-US"/>
        </w:rPr>
        <w:t>s to use</w:t>
      </w:r>
      <w:r>
        <w:rPr>
          <w:rFonts w:cs="Times New Roman"/>
          <w:lang w:val="en-US"/>
        </w:rPr>
        <w:t xml:space="preserve"> </w:t>
      </w:r>
      <w:r w:rsidRPr="002D664F">
        <w:rPr>
          <w:rFonts w:cs="Times New Roman"/>
          <w:u w:val="single"/>
          <w:lang w:val="en-US"/>
        </w:rPr>
        <w:t>existing services</w:t>
      </w:r>
      <w:r>
        <w:rPr>
          <w:rFonts w:cs="Times New Roman"/>
          <w:lang w:val="en-US"/>
        </w:rPr>
        <w:t>, such as health (e.g. visiting regularly health centers) and education (e.g. sending children to school)</w:t>
      </w:r>
      <w:r w:rsidR="0000451C">
        <w:rPr>
          <w:rFonts w:cs="Times New Roman"/>
          <w:lang w:val="en-US"/>
        </w:rPr>
        <w:t>, or to attend informational or educational sessions.</w:t>
      </w:r>
    </w:p>
    <w:p w14:paraId="71C8F398" w14:textId="3069553A" w:rsidR="00964D57" w:rsidRDefault="00964D57" w:rsidP="00964D57">
      <w:pPr>
        <w:jc w:val="both"/>
        <w:rPr>
          <w:rFonts w:cs="Times New Roman"/>
          <w:lang w:val="en-US"/>
        </w:rPr>
      </w:pPr>
      <w:r>
        <w:rPr>
          <w:rFonts w:cs="Times New Roman"/>
          <w:lang w:val="en-US"/>
        </w:rPr>
        <w:t xml:space="preserve">Typology </w:t>
      </w:r>
      <w:r w:rsidR="00981BD1">
        <w:rPr>
          <w:rFonts w:cs="Times New Roman"/>
          <w:lang w:val="en-US"/>
        </w:rPr>
        <w:t>3</w:t>
      </w:r>
      <w:r>
        <w:rPr>
          <w:rFonts w:cs="Times New Roman"/>
          <w:lang w:val="en-US"/>
        </w:rPr>
        <w:t xml:space="preserve">: </w:t>
      </w:r>
      <w:r w:rsidR="0000451C">
        <w:rPr>
          <w:rFonts w:cs="Times New Roman"/>
          <w:lang w:val="en-US"/>
        </w:rPr>
        <w:t>T</w:t>
      </w:r>
      <w:r w:rsidR="00991C69">
        <w:rPr>
          <w:rFonts w:cs="Times New Roman"/>
          <w:lang w:val="en-US"/>
        </w:rPr>
        <w:t xml:space="preserve">his typology refers to linkages between cash transfer programs and other </w:t>
      </w:r>
      <w:r w:rsidR="00991C69" w:rsidRPr="002D664F">
        <w:rPr>
          <w:rFonts w:cs="Times New Roman"/>
          <w:u w:val="single"/>
          <w:lang w:val="en-US"/>
        </w:rPr>
        <w:t>existing nationwide services or interventions</w:t>
      </w:r>
      <w:r w:rsidR="00991C69">
        <w:rPr>
          <w:rFonts w:cs="Times New Roman"/>
          <w:lang w:val="en-US"/>
        </w:rPr>
        <w:t xml:space="preserve">, whose access is not a condition to enter or remain in the program. An example of Typology 3, which we also refer to as the   ‘integrated service model’, is the integration between the Ghana Cash transfer scheme’s Livelihood Empowerment </w:t>
      </w:r>
      <w:proofErr w:type="gramStart"/>
      <w:r w:rsidR="00991C69">
        <w:rPr>
          <w:rFonts w:cs="Times New Roman"/>
          <w:lang w:val="en-US"/>
        </w:rPr>
        <w:t>Against</w:t>
      </w:r>
      <w:proofErr w:type="gramEnd"/>
      <w:r w:rsidR="00991C69">
        <w:rPr>
          <w:rFonts w:cs="Times New Roman"/>
          <w:lang w:val="en-US"/>
        </w:rPr>
        <w:t xml:space="preserve"> Poverty (LEAP) and National Health Insurance Scheme (NHIS). Household that are selected for the LEAP programme (managed by the Ministry of </w:t>
      </w:r>
      <w:r w:rsidR="001B6396">
        <w:rPr>
          <w:rFonts w:cs="Times New Roman"/>
          <w:lang w:val="en-US"/>
        </w:rPr>
        <w:t>G</w:t>
      </w:r>
      <w:r w:rsidR="00991C69">
        <w:rPr>
          <w:rFonts w:cs="Times New Roman"/>
          <w:lang w:val="en-US"/>
        </w:rPr>
        <w:t xml:space="preserve">ender Children and Social Protection) are entitled </w:t>
      </w:r>
      <w:r w:rsidR="00F15D74">
        <w:rPr>
          <w:rFonts w:cs="Times New Roman"/>
          <w:lang w:val="en-US"/>
        </w:rPr>
        <w:t xml:space="preserve">to be enrolled without the payment of any fee in the NHIS (managed by the Ministry of Health). </w:t>
      </w:r>
    </w:p>
    <w:p w14:paraId="491387E0" w14:textId="1F7E78E9" w:rsidR="009F3370" w:rsidRDefault="00F73DA6" w:rsidP="00EB2572">
      <w:pPr>
        <w:jc w:val="both"/>
        <w:rPr>
          <w:rFonts w:cs="Times New Roman"/>
          <w:lang w:val="en-US"/>
        </w:rPr>
      </w:pPr>
      <w:r>
        <w:rPr>
          <w:rFonts w:cs="Times New Roman"/>
          <w:lang w:val="en-US"/>
        </w:rPr>
        <w:t xml:space="preserve">This paper will </w:t>
      </w:r>
      <w:r w:rsidR="00F15D74">
        <w:rPr>
          <w:rFonts w:cs="Times New Roman"/>
          <w:lang w:val="en-US"/>
        </w:rPr>
        <w:t>focus on typology 3, the</w:t>
      </w:r>
      <w:r w:rsidR="008B5834">
        <w:rPr>
          <w:rFonts w:cs="Times New Roman"/>
          <w:lang w:val="en-US"/>
        </w:rPr>
        <w:t xml:space="preserve"> integrated services model</w:t>
      </w:r>
      <w:r w:rsidR="00F15D74">
        <w:rPr>
          <w:rFonts w:cs="Times New Roman"/>
          <w:lang w:val="en-US"/>
        </w:rPr>
        <w:t>, since l</w:t>
      </w:r>
      <w:r w:rsidR="009B480F">
        <w:rPr>
          <w:rFonts w:cs="Times New Roman"/>
          <w:lang w:val="en-US"/>
        </w:rPr>
        <w:t>ittle is known and understood on the mechanisms that enable</w:t>
      </w:r>
      <w:r w:rsidR="00CF7A97">
        <w:rPr>
          <w:rFonts w:cs="Times New Roman"/>
          <w:lang w:val="en-US"/>
        </w:rPr>
        <w:t xml:space="preserve"> </w:t>
      </w:r>
      <w:r w:rsidR="00CF7A97">
        <w:rPr>
          <w:rFonts w:cs="Times New Roman"/>
          <w:i/>
          <w:lang w:val="en-US"/>
        </w:rPr>
        <w:t xml:space="preserve">coherence </w:t>
      </w:r>
      <w:r w:rsidR="00CF7A97">
        <w:rPr>
          <w:rFonts w:cs="Times New Roman"/>
          <w:lang w:val="en-US"/>
        </w:rPr>
        <w:t xml:space="preserve">across existing sectoral </w:t>
      </w:r>
      <w:r w:rsidR="00F15D74">
        <w:rPr>
          <w:rFonts w:cs="Times New Roman"/>
          <w:lang w:val="en-US"/>
        </w:rPr>
        <w:t>interventions (e.g. NHIS)</w:t>
      </w:r>
      <w:r w:rsidR="00CF7A97">
        <w:rPr>
          <w:rFonts w:cs="Times New Roman"/>
          <w:lang w:val="en-US"/>
        </w:rPr>
        <w:t xml:space="preserve"> and </w:t>
      </w:r>
      <w:r w:rsidR="00F15D74">
        <w:rPr>
          <w:rFonts w:cs="Times New Roman"/>
          <w:lang w:val="en-US"/>
        </w:rPr>
        <w:t xml:space="preserve">cash </w:t>
      </w:r>
      <w:r w:rsidR="000C01D4">
        <w:rPr>
          <w:rFonts w:cs="Times New Roman"/>
          <w:lang w:val="en-US"/>
        </w:rPr>
        <w:t>t</w:t>
      </w:r>
      <w:r w:rsidR="00F15D74">
        <w:rPr>
          <w:rFonts w:cs="Times New Roman"/>
          <w:lang w:val="en-US"/>
        </w:rPr>
        <w:t xml:space="preserve">ransfer </w:t>
      </w:r>
      <w:proofErr w:type="spellStart"/>
      <w:r w:rsidR="00CF7A97">
        <w:rPr>
          <w:rFonts w:cs="Times New Roman"/>
          <w:lang w:val="en-US"/>
        </w:rPr>
        <w:t>programmes</w:t>
      </w:r>
      <w:proofErr w:type="spellEnd"/>
      <w:r w:rsidR="00CF7A97">
        <w:rPr>
          <w:rFonts w:cs="Times New Roman"/>
          <w:lang w:val="en-US"/>
        </w:rPr>
        <w:t xml:space="preserve"> </w:t>
      </w:r>
      <w:r w:rsidR="00F15D74">
        <w:rPr>
          <w:rFonts w:cs="Times New Roman"/>
          <w:lang w:val="en-US"/>
        </w:rPr>
        <w:t xml:space="preserve">(e.g. LEAP). </w:t>
      </w:r>
      <w:r w:rsidR="007D450D">
        <w:rPr>
          <w:rFonts w:cs="Times New Roman"/>
          <w:lang w:val="en-US"/>
        </w:rPr>
        <w:t>In</w:t>
      </w:r>
      <w:r w:rsidR="009B480F">
        <w:rPr>
          <w:rFonts w:cs="Times New Roman"/>
          <w:lang w:val="en-US"/>
        </w:rPr>
        <w:t xml:space="preserve"> other words, </w:t>
      </w:r>
      <w:r w:rsidR="00F15D74">
        <w:rPr>
          <w:rFonts w:cs="Times New Roman"/>
          <w:lang w:val="en-US"/>
        </w:rPr>
        <w:t>on how e</w:t>
      </w:r>
      <w:r w:rsidR="009B480F">
        <w:rPr>
          <w:rFonts w:cs="Times New Roman"/>
          <w:lang w:val="en-US"/>
        </w:rPr>
        <w:t xml:space="preserve">xisting policies and </w:t>
      </w:r>
      <w:r w:rsidR="00F15D74">
        <w:rPr>
          <w:rFonts w:cs="Times New Roman"/>
          <w:lang w:val="en-US"/>
        </w:rPr>
        <w:t xml:space="preserve">interventions </w:t>
      </w:r>
      <w:r w:rsidR="009B480F">
        <w:rPr>
          <w:rFonts w:cs="Times New Roman"/>
          <w:lang w:val="en-US"/>
        </w:rPr>
        <w:t xml:space="preserve">that have </w:t>
      </w:r>
      <w:r w:rsidR="00F15D74">
        <w:rPr>
          <w:rFonts w:cs="Times New Roman"/>
          <w:lang w:val="en-US"/>
        </w:rPr>
        <w:t xml:space="preserve">similar target households (e.g. extremely poor households) </w:t>
      </w:r>
      <w:r w:rsidR="009F3370">
        <w:rPr>
          <w:rFonts w:cs="Times New Roman"/>
          <w:lang w:val="en-US"/>
        </w:rPr>
        <w:t>are brought together as</w:t>
      </w:r>
      <w:r w:rsidR="009B480F">
        <w:rPr>
          <w:rFonts w:cs="Times New Roman"/>
          <w:lang w:val="en-US"/>
        </w:rPr>
        <w:t xml:space="preserve"> complementarities</w:t>
      </w:r>
      <w:r w:rsidR="00CF7A97">
        <w:rPr>
          <w:rFonts w:cs="Times New Roman"/>
          <w:lang w:val="en-US"/>
        </w:rPr>
        <w:t xml:space="preserve"> at the policy</w:t>
      </w:r>
      <w:r w:rsidR="00F15D74">
        <w:rPr>
          <w:rFonts w:cs="Times New Roman"/>
          <w:lang w:val="en-US"/>
        </w:rPr>
        <w:t xml:space="preserve"> and implementation</w:t>
      </w:r>
      <w:r w:rsidR="00CF7A97">
        <w:rPr>
          <w:rFonts w:cs="Times New Roman"/>
          <w:lang w:val="en-US"/>
        </w:rPr>
        <w:t xml:space="preserve"> level, t</w:t>
      </w:r>
      <w:r w:rsidR="009F3370">
        <w:rPr>
          <w:rFonts w:cs="Times New Roman"/>
          <w:lang w:val="en-US"/>
        </w:rPr>
        <w:t>o maximize</w:t>
      </w:r>
      <w:r w:rsidR="00AE5589">
        <w:rPr>
          <w:rFonts w:cs="Times New Roman"/>
          <w:lang w:val="en-US"/>
        </w:rPr>
        <w:t xml:space="preserve"> efforts</w:t>
      </w:r>
      <w:r w:rsidR="009F3370">
        <w:rPr>
          <w:rFonts w:cs="Times New Roman"/>
          <w:lang w:val="en-US"/>
        </w:rPr>
        <w:t xml:space="preserve"> </w:t>
      </w:r>
      <w:r w:rsidR="00CF7A97">
        <w:rPr>
          <w:rFonts w:cs="Times New Roman"/>
          <w:lang w:val="en-US"/>
        </w:rPr>
        <w:t>of reducing poverty and vulnerability</w:t>
      </w:r>
      <w:r w:rsidR="009F3370">
        <w:rPr>
          <w:rFonts w:cs="Times New Roman"/>
          <w:lang w:val="en-US"/>
        </w:rPr>
        <w:t>.</w:t>
      </w:r>
      <w:r w:rsidR="00EE3D0B">
        <w:rPr>
          <w:rStyle w:val="FootnoteReference"/>
          <w:rFonts w:cs="Times New Roman"/>
          <w:lang w:val="en-US"/>
        </w:rPr>
        <w:footnoteReference w:id="2"/>
      </w:r>
      <w:r w:rsidR="009F3370">
        <w:rPr>
          <w:rFonts w:cs="Times New Roman"/>
          <w:lang w:val="en-US"/>
        </w:rPr>
        <w:t xml:space="preserve"> </w:t>
      </w:r>
      <w:r w:rsidR="00AE5589">
        <w:rPr>
          <w:rFonts w:cs="Times New Roman"/>
          <w:lang w:val="en-US"/>
        </w:rPr>
        <w:t xml:space="preserve"> </w:t>
      </w:r>
    </w:p>
    <w:p w14:paraId="64101F6D" w14:textId="0AE78CE2" w:rsidR="00DB1E09" w:rsidRDefault="00E709A3" w:rsidP="00DB1E09">
      <w:pPr>
        <w:jc w:val="both"/>
        <w:rPr>
          <w:rFonts w:cs="Times New Roman"/>
          <w:i/>
          <w:u w:val="single"/>
        </w:rPr>
      </w:pPr>
      <w:r>
        <w:rPr>
          <w:rFonts w:cs="Times New Roman"/>
          <w:lang w:val="en-US"/>
        </w:rPr>
        <w:t>As defined by the FAO in a forthcoming publication on Social Protection and Agriculture, Coherence is</w:t>
      </w:r>
      <w:r w:rsidR="00F043F3">
        <w:rPr>
          <w:rFonts w:cs="Times New Roman"/>
          <w:lang w:val="en-US"/>
        </w:rPr>
        <w:t xml:space="preserve"> defined as</w:t>
      </w:r>
      <w:r w:rsidR="00762652">
        <w:rPr>
          <w:rFonts w:cs="Times New Roman"/>
          <w:lang w:val="en-US"/>
        </w:rPr>
        <w:t xml:space="preserve"> </w:t>
      </w:r>
      <w:r w:rsidRPr="000F12EA">
        <w:rPr>
          <w:rFonts w:cs="Times New Roman"/>
          <w:i/>
        </w:rPr>
        <w:t>“A</w:t>
      </w:r>
      <w:r w:rsidRPr="002D664F">
        <w:rPr>
          <w:rFonts w:cs="Times New Roman"/>
          <w:i/>
        </w:rPr>
        <w:t xml:space="preserve"> systematic promotion of complementary and consistent policies and programmes across sectors, thereby creating synergies to combat rural poverty and food insecurity more effectively</w:t>
      </w:r>
      <w:r w:rsidR="00CB45A7">
        <w:rPr>
          <w:rFonts w:cs="Times New Roman"/>
          <w:i/>
        </w:rPr>
        <w:t>…</w:t>
      </w:r>
      <w:r w:rsidRPr="002D664F">
        <w:rPr>
          <w:rFonts w:cs="Times New Roman"/>
          <w:i/>
        </w:rPr>
        <w:t xml:space="preserve">” </w:t>
      </w:r>
      <w:r w:rsidR="00CB45A7">
        <w:rPr>
          <w:rFonts w:cs="Times New Roman"/>
          <w:i/>
        </w:rPr>
        <w:t xml:space="preserve"> </w:t>
      </w:r>
      <w:r w:rsidR="00CB45A7" w:rsidRPr="002D664F">
        <w:rPr>
          <w:rFonts w:cs="Times New Roman"/>
        </w:rPr>
        <w:t xml:space="preserve">Coherence is </w:t>
      </w:r>
      <w:r w:rsidR="00CB45A7">
        <w:rPr>
          <w:rFonts w:cs="Times New Roman"/>
        </w:rPr>
        <w:t xml:space="preserve">therefore a </w:t>
      </w:r>
      <w:r w:rsidR="00582F62">
        <w:rPr>
          <w:rFonts w:cs="Times New Roman"/>
        </w:rPr>
        <w:t>means to an end, and is as much about</w:t>
      </w:r>
      <w:r w:rsidR="00CB45A7" w:rsidRPr="002D664F">
        <w:rPr>
          <w:rFonts w:cs="Times New Roman"/>
        </w:rPr>
        <w:t xml:space="preserve"> </w:t>
      </w:r>
      <w:r w:rsidR="00435B26">
        <w:rPr>
          <w:rFonts w:cs="Times New Roman"/>
        </w:rPr>
        <w:t>“</w:t>
      </w:r>
      <w:r w:rsidR="00CB45A7" w:rsidRPr="00E65149">
        <w:rPr>
          <w:rFonts w:cs="Times New Roman"/>
          <w:i/>
        </w:rPr>
        <w:t>ensuring that potentially conflicting interactions between policies and programmes are avoided and/or minimised, as it is about actively exploiting complementarities and synergies</w:t>
      </w:r>
      <w:r w:rsidR="00435B26">
        <w:rPr>
          <w:rFonts w:cs="Times New Roman"/>
        </w:rPr>
        <w:t>…</w:t>
      </w:r>
      <w:r w:rsidR="00DB1E09">
        <w:rPr>
          <w:rFonts w:cs="Times New Roman"/>
        </w:rPr>
        <w:t xml:space="preserve">”  Coherence can be </w:t>
      </w:r>
      <w:r w:rsidR="00DB1E09" w:rsidRPr="002D664F">
        <w:rPr>
          <w:rFonts w:cs="Times New Roman"/>
          <w:u w:val="single"/>
        </w:rPr>
        <w:t>horizontal</w:t>
      </w:r>
      <w:r w:rsidR="00DB1E09">
        <w:rPr>
          <w:rFonts w:cs="Times New Roman"/>
        </w:rPr>
        <w:t xml:space="preserve">, for example cross-sectoral collaboration between social protection, agriculture, health, or education, as well as </w:t>
      </w:r>
      <w:r w:rsidR="00DB1E09" w:rsidRPr="002D664F">
        <w:rPr>
          <w:rFonts w:cs="Times New Roman"/>
          <w:u w:val="single"/>
        </w:rPr>
        <w:t>vertical</w:t>
      </w:r>
      <w:r w:rsidR="00DB1E09">
        <w:rPr>
          <w:rFonts w:cs="Times New Roman"/>
        </w:rPr>
        <w:t xml:space="preserve">. </w:t>
      </w:r>
      <w:r w:rsidR="00DB1E09" w:rsidRPr="002D664F">
        <w:rPr>
          <w:rFonts w:cs="Times New Roman"/>
          <w:u w:val="single"/>
        </w:rPr>
        <w:t>Vertical coherence</w:t>
      </w:r>
      <w:r w:rsidR="001A31B5">
        <w:rPr>
          <w:rFonts w:cs="Times New Roman"/>
        </w:rPr>
        <w:t xml:space="preserve"> refers to ensuring</w:t>
      </w:r>
      <w:r w:rsidR="00435B26">
        <w:rPr>
          <w:rFonts w:cs="Times New Roman"/>
        </w:rPr>
        <w:t xml:space="preserve"> consistency across different levels of government</w:t>
      </w:r>
      <w:r w:rsidR="001A31B5">
        <w:rPr>
          <w:rFonts w:cs="Times New Roman"/>
        </w:rPr>
        <w:t xml:space="preserve"> – from national, regional, district and community levels - </w:t>
      </w:r>
      <w:r w:rsidR="00435B26">
        <w:rPr>
          <w:rFonts w:cs="Times New Roman"/>
        </w:rPr>
        <w:t>to translate policy agreements and objectives into programmes and service delivery at the household level.</w:t>
      </w:r>
      <w:r w:rsidR="00DB1E09">
        <w:rPr>
          <w:rFonts w:cs="Times New Roman"/>
        </w:rPr>
        <w:t xml:space="preserve"> As stated in the FAO document, “</w:t>
      </w:r>
      <w:r w:rsidR="00DB1E09" w:rsidRPr="00E65149">
        <w:rPr>
          <w:rFonts w:cs="Times New Roman"/>
          <w:i/>
        </w:rPr>
        <w:t xml:space="preserve">Coordination is a critical action for pursuing coherence. Although coherence may evolve as the result of fortunate chance, </w:t>
      </w:r>
      <w:r w:rsidR="00DB1E09" w:rsidRPr="002D664F">
        <w:rPr>
          <w:rFonts w:cs="Times New Roman"/>
          <w:i/>
          <w:u w:val="single"/>
        </w:rPr>
        <w:t>systematically developing coherence requires deliberate coordinated action between various stakeholders (Slater et al., 2015b).”</w:t>
      </w:r>
      <w:r w:rsidR="00DB1E09" w:rsidRPr="002D664F">
        <w:rPr>
          <w:rStyle w:val="FootnoteReference"/>
          <w:rFonts w:cs="Times New Roman"/>
          <w:i/>
          <w:u w:val="single"/>
        </w:rPr>
        <w:footnoteReference w:id="3"/>
      </w:r>
    </w:p>
    <w:p w14:paraId="1B9DD722" w14:textId="77777777" w:rsidR="005928E8" w:rsidRPr="002D664F" w:rsidRDefault="005928E8" w:rsidP="00DB1E09">
      <w:pPr>
        <w:jc w:val="both"/>
        <w:rPr>
          <w:rFonts w:cs="Times New Roman"/>
          <w:i/>
          <w:u w:val="single"/>
        </w:rPr>
      </w:pPr>
    </w:p>
    <w:p w14:paraId="7014743E" w14:textId="77777777" w:rsidR="00582F62" w:rsidRDefault="00582F62" w:rsidP="00582F62">
      <w:pPr>
        <w:pStyle w:val="ListParagraph"/>
        <w:ind w:left="454"/>
        <w:jc w:val="both"/>
        <w:rPr>
          <w:b/>
        </w:rPr>
      </w:pPr>
    </w:p>
    <w:p w14:paraId="7A38D49B" w14:textId="77777777" w:rsidR="00EC040A" w:rsidRPr="00126E58" w:rsidRDefault="00EC040A" w:rsidP="00126E58">
      <w:pPr>
        <w:pStyle w:val="ListParagraph"/>
        <w:numPr>
          <w:ilvl w:val="0"/>
          <w:numId w:val="1"/>
        </w:numPr>
        <w:jc w:val="both"/>
        <w:rPr>
          <w:b/>
        </w:rPr>
      </w:pPr>
      <w:r w:rsidRPr="00126E58">
        <w:rPr>
          <w:b/>
        </w:rPr>
        <w:t>Objective(s):</w:t>
      </w:r>
    </w:p>
    <w:p w14:paraId="71412675" w14:textId="5D1C6AA3" w:rsidR="00EC040A" w:rsidRPr="008C1456" w:rsidRDefault="00EC040A" w:rsidP="00BE0F41">
      <w:pPr>
        <w:jc w:val="both"/>
        <w:rPr>
          <w:rFonts w:cs="Times New Roman"/>
          <w:lang w:val="en-US"/>
        </w:rPr>
      </w:pPr>
      <w:r>
        <w:rPr>
          <w:rFonts w:cs="Times New Roman"/>
        </w:rPr>
        <w:t xml:space="preserve">The objective of this </w:t>
      </w:r>
      <w:r w:rsidR="007F26A6">
        <w:rPr>
          <w:rFonts w:cs="Times New Roman"/>
        </w:rPr>
        <w:t>research paper is</w:t>
      </w:r>
      <w:r w:rsidR="007D450D">
        <w:rPr>
          <w:rFonts w:cs="Times New Roman"/>
        </w:rPr>
        <w:t xml:space="preserve"> to </w:t>
      </w:r>
      <w:r w:rsidR="00067E78">
        <w:rPr>
          <w:rFonts w:cs="Times New Roman"/>
        </w:rPr>
        <w:t>explore</w:t>
      </w:r>
      <w:r w:rsidR="007D450D">
        <w:rPr>
          <w:rFonts w:cs="Times New Roman"/>
        </w:rPr>
        <w:t xml:space="preserve"> </w:t>
      </w:r>
      <w:r w:rsidR="007D450D">
        <w:rPr>
          <w:rFonts w:cs="Times New Roman"/>
          <w:lang w:val="en-US"/>
        </w:rPr>
        <w:t xml:space="preserve">the dynamics that enable </w:t>
      </w:r>
      <w:r w:rsidR="007D450D" w:rsidRPr="008C1456">
        <w:rPr>
          <w:rFonts w:cs="Times New Roman"/>
          <w:lang w:val="en-US"/>
        </w:rPr>
        <w:t>coherence</w:t>
      </w:r>
      <w:r w:rsidR="007D450D">
        <w:rPr>
          <w:rFonts w:cs="Times New Roman"/>
          <w:lang w:val="en-US"/>
        </w:rPr>
        <w:t xml:space="preserve"> </w:t>
      </w:r>
      <w:r w:rsidR="004F038F">
        <w:rPr>
          <w:rFonts w:cs="Times New Roman"/>
          <w:lang w:val="en-US"/>
        </w:rPr>
        <w:t xml:space="preserve">among cash transfer </w:t>
      </w:r>
      <w:proofErr w:type="spellStart"/>
      <w:r w:rsidR="004F038F">
        <w:rPr>
          <w:rFonts w:cs="Times New Roman"/>
          <w:lang w:val="en-US"/>
        </w:rPr>
        <w:t>programmes</w:t>
      </w:r>
      <w:proofErr w:type="spellEnd"/>
      <w:r w:rsidR="004F038F">
        <w:rPr>
          <w:rFonts w:cs="Times New Roman"/>
          <w:lang w:val="en-US"/>
        </w:rPr>
        <w:t xml:space="preserve"> and other </w:t>
      </w:r>
      <w:r w:rsidR="007D450D">
        <w:rPr>
          <w:rFonts w:cs="Times New Roman"/>
          <w:lang w:val="en-US"/>
        </w:rPr>
        <w:t>existing</w:t>
      </w:r>
      <w:r w:rsidR="00F15D74">
        <w:rPr>
          <w:rFonts w:cs="Times New Roman"/>
          <w:lang w:val="en-US"/>
        </w:rPr>
        <w:t xml:space="preserve"> and nationwide</w:t>
      </w:r>
      <w:r w:rsidR="007D450D">
        <w:rPr>
          <w:rFonts w:cs="Times New Roman"/>
          <w:lang w:val="en-US"/>
        </w:rPr>
        <w:t xml:space="preserve"> policies/</w:t>
      </w:r>
      <w:proofErr w:type="spellStart"/>
      <w:r w:rsidR="007D450D">
        <w:rPr>
          <w:rFonts w:cs="Times New Roman"/>
          <w:lang w:val="en-US"/>
        </w:rPr>
        <w:t>programmes</w:t>
      </w:r>
      <w:proofErr w:type="spellEnd"/>
      <w:r w:rsidR="007D450D">
        <w:rPr>
          <w:rFonts w:cs="Times New Roman"/>
          <w:lang w:val="en-US"/>
        </w:rPr>
        <w:t xml:space="preserve">, and </w:t>
      </w:r>
      <w:r w:rsidR="005928E8">
        <w:rPr>
          <w:rFonts w:cs="Times New Roman"/>
          <w:lang w:val="en-US"/>
        </w:rPr>
        <w:t xml:space="preserve">to identify the </w:t>
      </w:r>
      <w:r w:rsidR="004F038F">
        <w:rPr>
          <w:rFonts w:cs="Times New Roman"/>
          <w:lang w:val="en-US"/>
        </w:rPr>
        <w:t xml:space="preserve">conditions or protocols that can facilitate </w:t>
      </w:r>
      <w:r w:rsidR="007D450D">
        <w:rPr>
          <w:rFonts w:cs="Times New Roman"/>
          <w:lang w:val="en-US"/>
        </w:rPr>
        <w:t>inter-sectoral collaboration</w:t>
      </w:r>
      <w:r w:rsidR="00FE75A4">
        <w:rPr>
          <w:rFonts w:cs="Times New Roman"/>
          <w:lang w:val="en-US"/>
        </w:rPr>
        <w:t xml:space="preserve"> and coordination </w:t>
      </w:r>
      <w:r w:rsidR="007D450D">
        <w:rPr>
          <w:rFonts w:cs="Times New Roman"/>
          <w:lang w:val="en-US"/>
        </w:rPr>
        <w:t>at the policy</w:t>
      </w:r>
      <w:r w:rsidR="00FE75A4">
        <w:rPr>
          <w:rFonts w:cs="Times New Roman"/>
          <w:lang w:val="en-US"/>
        </w:rPr>
        <w:t xml:space="preserve"> or implementation</w:t>
      </w:r>
      <w:r w:rsidR="007D450D">
        <w:rPr>
          <w:rFonts w:cs="Times New Roman"/>
          <w:lang w:val="en-US"/>
        </w:rPr>
        <w:t xml:space="preserve"> level </w:t>
      </w:r>
      <w:r w:rsidR="004F038F">
        <w:rPr>
          <w:rFonts w:cs="Times New Roman"/>
          <w:lang w:val="en-US"/>
        </w:rPr>
        <w:t xml:space="preserve">in order to </w:t>
      </w:r>
      <w:r w:rsidR="007D450D">
        <w:rPr>
          <w:rFonts w:cs="Times New Roman"/>
          <w:lang w:val="en-US"/>
        </w:rPr>
        <w:t>provid</w:t>
      </w:r>
      <w:r w:rsidR="004F038F">
        <w:rPr>
          <w:rFonts w:cs="Times New Roman"/>
          <w:lang w:val="en-US"/>
        </w:rPr>
        <w:t>e</w:t>
      </w:r>
      <w:r w:rsidR="007D450D">
        <w:rPr>
          <w:rFonts w:cs="Times New Roman"/>
          <w:lang w:val="en-US"/>
        </w:rPr>
        <w:t xml:space="preserve"> integrated services to cash-transfer beneficiaries at the household level</w:t>
      </w:r>
      <w:r w:rsidR="00FE75A4">
        <w:rPr>
          <w:rFonts w:cs="Times New Roman"/>
          <w:lang w:val="en-US"/>
        </w:rPr>
        <w:t>.</w:t>
      </w:r>
    </w:p>
    <w:p w14:paraId="6B6D42EC" w14:textId="2D12B9D7" w:rsidR="00D112CD" w:rsidRDefault="00D112CD" w:rsidP="00BE0F41">
      <w:pPr>
        <w:jc w:val="both"/>
      </w:pPr>
      <w:r>
        <w:t xml:space="preserve">Key </w:t>
      </w:r>
      <w:r w:rsidR="007F26A6">
        <w:t xml:space="preserve">research questions </w:t>
      </w:r>
      <w:r>
        <w:t>to</w:t>
      </w:r>
      <w:r w:rsidR="001C652B">
        <w:t xml:space="preserve"> be addressed are the following. These research questions need to be addressed at a global </w:t>
      </w:r>
      <w:r w:rsidR="004F038F">
        <w:t xml:space="preserve">or theoretical </w:t>
      </w:r>
      <w:r w:rsidR="001C652B">
        <w:t>level.</w:t>
      </w:r>
    </w:p>
    <w:p w14:paraId="59AD51A4" w14:textId="47C3C3B1" w:rsidR="00EE3D0B" w:rsidRDefault="00E45FC3" w:rsidP="0065020F">
      <w:pPr>
        <w:pStyle w:val="ListParagraph"/>
        <w:numPr>
          <w:ilvl w:val="0"/>
          <w:numId w:val="14"/>
        </w:numPr>
        <w:jc w:val="both"/>
      </w:pPr>
      <w:r>
        <w:t>What are</w:t>
      </w:r>
      <w:r w:rsidR="007E0A8B">
        <w:t xml:space="preserve"> </w:t>
      </w:r>
      <w:r w:rsidR="00FE75A4">
        <w:t xml:space="preserve">main </w:t>
      </w:r>
      <w:r w:rsidR="00E41185">
        <w:t>examples of</w:t>
      </w:r>
      <w:r w:rsidR="00EE3D0B">
        <w:t xml:space="preserve"> </w:t>
      </w:r>
      <w:r w:rsidR="00FE75A4">
        <w:t xml:space="preserve">this </w:t>
      </w:r>
      <w:r w:rsidR="00EE3D0B">
        <w:t>integrated-service</w:t>
      </w:r>
      <w:r w:rsidR="00FE75A4">
        <w:t xml:space="preserve"> model</w:t>
      </w:r>
      <w:r w:rsidR="004F038F">
        <w:t>s</w:t>
      </w:r>
      <w:r w:rsidR="00FE75A4">
        <w:t xml:space="preserve"> globally? </w:t>
      </w:r>
      <w:r>
        <w:t xml:space="preserve"> </w:t>
      </w:r>
      <w:r w:rsidR="00AF52A1">
        <w:t xml:space="preserve">What </w:t>
      </w:r>
      <w:r w:rsidR="00725C9C">
        <w:t xml:space="preserve">is the existing evidence </w:t>
      </w:r>
      <w:r w:rsidR="000F12EA">
        <w:t>on this integrated-service model on poverty</w:t>
      </w:r>
      <w:r w:rsidR="004F038F">
        <w:t xml:space="preserve"> or other improvements in welfare among the poor</w:t>
      </w:r>
      <w:r w:rsidR="007E0A8B">
        <w:t xml:space="preserve">? </w:t>
      </w:r>
      <w:r w:rsidR="00EE3D0B">
        <w:t xml:space="preserve"> </w:t>
      </w:r>
      <w:r w:rsidR="00AF52A1">
        <w:t xml:space="preserve"> </w:t>
      </w:r>
    </w:p>
    <w:p w14:paraId="6921EECC" w14:textId="79BBCF50" w:rsidR="00FE1F3B" w:rsidRDefault="00206004" w:rsidP="00AF52A1">
      <w:pPr>
        <w:pStyle w:val="ListParagraph"/>
        <w:numPr>
          <w:ilvl w:val="0"/>
          <w:numId w:val="14"/>
        </w:numPr>
        <w:jc w:val="both"/>
      </w:pPr>
      <w:r>
        <w:t>W</w:t>
      </w:r>
      <w:r w:rsidR="00AF52A1">
        <w:t xml:space="preserve">hat </w:t>
      </w:r>
      <w:r w:rsidR="00AF2245">
        <w:t>are the</w:t>
      </w:r>
      <w:r w:rsidR="00EE3D0B">
        <w:t xml:space="preserve"> key </w:t>
      </w:r>
      <w:r w:rsidR="00AF52A1">
        <w:t>factors</w:t>
      </w:r>
      <w:r w:rsidR="005B13F6">
        <w:t xml:space="preserve"> and triggers</w:t>
      </w:r>
      <w:r w:rsidR="00AF52A1">
        <w:t xml:space="preserve"> that </w:t>
      </w:r>
      <w:r w:rsidR="00EE3D0B">
        <w:t xml:space="preserve">initiated inter-sectoral </w:t>
      </w:r>
      <w:r w:rsidR="00B1068B">
        <w:t xml:space="preserve">collaboration between an existing </w:t>
      </w:r>
      <w:r w:rsidR="000F12EA">
        <w:t xml:space="preserve">sector interventions </w:t>
      </w:r>
      <w:r w:rsidR="00B1068B">
        <w:t>and a cash-transfer programme</w:t>
      </w:r>
      <w:r w:rsidR="00AF52A1">
        <w:t xml:space="preserve">? </w:t>
      </w:r>
    </w:p>
    <w:p w14:paraId="55D2E95E" w14:textId="77777777" w:rsidR="00FE1F3B" w:rsidRDefault="00AF52A1">
      <w:pPr>
        <w:pStyle w:val="ListParagraph"/>
        <w:numPr>
          <w:ilvl w:val="0"/>
          <w:numId w:val="14"/>
        </w:numPr>
        <w:jc w:val="both"/>
      </w:pPr>
      <w:r>
        <w:t>What are the</w:t>
      </w:r>
      <w:r w:rsidR="00E41185">
        <w:t xml:space="preserve"> </w:t>
      </w:r>
      <w:r w:rsidR="003D1EB9">
        <w:t xml:space="preserve">mechanisms </w:t>
      </w:r>
      <w:r>
        <w:t>required for</w:t>
      </w:r>
      <w:r w:rsidR="00B1068B">
        <w:t xml:space="preserve"> translating policy-level inter-sectoral collaboration down to tangible</w:t>
      </w:r>
      <w:r w:rsidR="007855AC">
        <w:t xml:space="preserve"> </w:t>
      </w:r>
      <w:r w:rsidR="00B1068B">
        <w:t xml:space="preserve">integrated-service for cash-transfer beneficiaries at the household level? </w:t>
      </w:r>
      <w:r>
        <w:t xml:space="preserve"> </w:t>
      </w:r>
    </w:p>
    <w:p w14:paraId="174F8C26" w14:textId="77777777" w:rsidR="00AF52A1" w:rsidRDefault="00AF52A1" w:rsidP="00060DE3">
      <w:pPr>
        <w:pStyle w:val="ListParagraph"/>
        <w:numPr>
          <w:ilvl w:val="0"/>
          <w:numId w:val="14"/>
        </w:numPr>
        <w:jc w:val="both"/>
      </w:pPr>
      <w:r>
        <w:t>What are the challenges of linking sectors together</w:t>
      </w:r>
      <w:r w:rsidR="00E41185">
        <w:t xml:space="preserve"> and key lessons learned</w:t>
      </w:r>
      <w:r>
        <w:t xml:space="preserve">? </w:t>
      </w:r>
      <w:r w:rsidR="00067E78">
        <w:t>How can sustainability be ensured?</w:t>
      </w:r>
    </w:p>
    <w:p w14:paraId="61C04ED7" w14:textId="6F64752B" w:rsidR="00206004" w:rsidRDefault="00E41185">
      <w:pPr>
        <w:pStyle w:val="ListParagraph"/>
        <w:numPr>
          <w:ilvl w:val="0"/>
          <w:numId w:val="14"/>
        </w:numPr>
        <w:jc w:val="both"/>
      </w:pPr>
      <w:r>
        <w:t>What examples</w:t>
      </w:r>
      <w:r w:rsidR="0010651D">
        <w:t xml:space="preserve"> and lessons</w:t>
      </w:r>
      <w:r>
        <w:t xml:space="preserve"> can be drawn </w:t>
      </w:r>
      <w:r w:rsidR="000F12EA">
        <w:t xml:space="preserve">for Ghana? </w:t>
      </w:r>
      <w:r w:rsidR="00206004">
        <w:t xml:space="preserve"> </w:t>
      </w:r>
    </w:p>
    <w:p w14:paraId="69C344C5" w14:textId="74511CFC" w:rsidR="004031DA" w:rsidRDefault="004031DA" w:rsidP="00A30EA4">
      <w:pPr>
        <w:jc w:val="both"/>
      </w:pPr>
      <w:r>
        <w:t>At the Ghana country level, the following research questions are to be addressed, building on a recent case study by UNICEF:</w:t>
      </w:r>
    </w:p>
    <w:p w14:paraId="16E23B84" w14:textId="77343F7A" w:rsidR="004031DA" w:rsidRDefault="004031DA">
      <w:pPr>
        <w:pStyle w:val="ListParagraph"/>
        <w:numPr>
          <w:ilvl w:val="0"/>
          <w:numId w:val="14"/>
        </w:numPr>
        <w:jc w:val="both"/>
      </w:pPr>
      <w:r>
        <w:t xml:space="preserve">The key integrated-service model in Ghana is the LEAP </w:t>
      </w:r>
      <w:r w:rsidR="000C01D4">
        <w:t>-</w:t>
      </w:r>
      <w:r>
        <w:t xml:space="preserve"> NHIS partnership. </w:t>
      </w:r>
      <w:r w:rsidR="000C01D4">
        <w:t>What are the operation mechanisms of this</w:t>
      </w:r>
      <w:r>
        <w:t xml:space="preserve"> model at the national and subnational level? </w:t>
      </w:r>
      <w:r w:rsidR="000C01D4">
        <w:t>What have been the successes and challenges of the implementation?</w:t>
      </w:r>
    </w:p>
    <w:p w14:paraId="299D816C" w14:textId="0011E2F1" w:rsidR="00E41185" w:rsidRDefault="0010651D">
      <w:pPr>
        <w:pStyle w:val="ListParagraph"/>
        <w:numPr>
          <w:ilvl w:val="0"/>
          <w:numId w:val="14"/>
        </w:numPr>
        <w:jc w:val="both"/>
      </w:pPr>
      <w:r>
        <w:t>What are further</w:t>
      </w:r>
      <w:r w:rsidR="003D07D7">
        <w:t xml:space="preserve"> areas of opportunity for </w:t>
      </w:r>
      <w:r>
        <w:t xml:space="preserve">an integrated platform of </w:t>
      </w:r>
      <w:r w:rsidR="00206004">
        <w:t>multi-sectoral services for cash transfer beneficiaries in Ghana</w:t>
      </w:r>
      <w:r w:rsidR="00E41185">
        <w:t>?</w:t>
      </w:r>
    </w:p>
    <w:p w14:paraId="1A7AD49E" w14:textId="77777777" w:rsidR="00EC040A" w:rsidRPr="000A06A4" w:rsidRDefault="00EC040A" w:rsidP="00BE0F41">
      <w:pPr>
        <w:numPr>
          <w:ilvl w:val="0"/>
          <w:numId w:val="1"/>
        </w:numPr>
        <w:tabs>
          <w:tab w:val="left" w:pos="2160"/>
        </w:tabs>
        <w:spacing w:after="240"/>
        <w:ind w:left="461" w:hanging="461"/>
        <w:jc w:val="both"/>
        <w:rPr>
          <w:b/>
        </w:rPr>
      </w:pPr>
      <w:r w:rsidRPr="000A06A4">
        <w:rPr>
          <w:b/>
        </w:rPr>
        <w:t>Specific activities to be completed to achieve the objectives:</w:t>
      </w:r>
    </w:p>
    <w:p w14:paraId="753B76B4" w14:textId="47732F9D" w:rsidR="00DE70F2" w:rsidRDefault="00DE70F2" w:rsidP="00BE0F41">
      <w:pPr>
        <w:jc w:val="both"/>
        <w:rPr>
          <w:rFonts w:cs="Times New Roman"/>
        </w:rPr>
      </w:pPr>
      <w:r>
        <w:rPr>
          <w:rFonts w:cs="Times New Roman"/>
        </w:rPr>
        <w:t xml:space="preserve">The selected </w:t>
      </w:r>
      <w:r w:rsidR="00BE0F41">
        <w:rPr>
          <w:rFonts w:cs="Times New Roman"/>
        </w:rPr>
        <w:t>international academic expert</w:t>
      </w:r>
      <w:r>
        <w:rPr>
          <w:rFonts w:cs="Times New Roman"/>
        </w:rPr>
        <w:t xml:space="preserve"> is expected to </w:t>
      </w:r>
      <w:r w:rsidR="0039243B">
        <w:rPr>
          <w:rFonts w:cs="Times New Roman"/>
        </w:rPr>
        <w:t xml:space="preserve">take the lead on this research and </w:t>
      </w:r>
      <w:r>
        <w:rPr>
          <w:rFonts w:cs="Times New Roman"/>
        </w:rPr>
        <w:t>collaborate with the Office of Research – Innocenti, an expert fr</w:t>
      </w:r>
      <w:r w:rsidR="003A4630">
        <w:rPr>
          <w:rFonts w:cs="Times New Roman"/>
        </w:rPr>
        <w:t>o</w:t>
      </w:r>
      <w:r>
        <w:rPr>
          <w:rFonts w:cs="Times New Roman"/>
        </w:rPr>
        <w:t xml:space="preserve">m UNICEF Ghana, and a Ghanaian researcher. </w:t>
      </w:r>
      <w:r w:rsidR="003A4630">
        <w:rPr>
          <w:rFonts w:cs="Times New Roman"/>
        </w:rPr>
        <w:t xml:space="preserve">The </w:t>
      </w:r>
      <w:r w:rsidR="001E2F14">
        <w:rPr>
          <w:rFonts w:cs="Times New Roman"/>
        </w:rPr>
        <w:t>i</w:t>
      </w:r>
      <w:r w:rsidR="003A4630">
        <w:rPr>
          <w:rFonts w:cs="Times New Roman"/>
        </w:rPr>
        <w:t xml:space="preserve">nternational academic </w:t>
      </w:r>
      <w:r w:rsidR="00BE0F41">
        <w:rPr>
          <w:rFonts w:cs="Times New Roman"/>
        </w:rPr>
        <w:t>expert</w:t>
      </w:r>
      <w:r w:rsidR="003A4630">
        <w:rPr>
          <w:rFonts w:cs="Times New Roman"/>
        </w:rPr>
        <w:t xml:space="preserve"> (incumbent)</w:t>
      </w:r>
      <w:r w:rsidR="001E2F14">
        <w:rPr>
          <w:rFonts w:cs="Times New Roman"/>
        </w:rPr>
        <w:t xml:space="preserve"> </w:t>
      </w:r>
      <w:r w:rsidR="003A4630">
        <w:rPr>
          <w:rFonts w:cs="Times New Roman"/>
        </w:rPr>
        <w:t xml:space="preserve">is welcome to provide recommendations of preferred Ghanaian researchers based on previous professional experience. </w:t>
      </w:r>
      <w:r>
        <w:rPr>
          <w:rFonts w:cs="Times New Roman"/>
        </w:rPr>
        <w:t>Specific activities to be carried out include:</w:t>
      </w:r>
    </w:p>
    <w:p w14:paraId="0545D845" w14:textId="02690504" w:rsidR="00FE1F3B" w:rsidRDefault="00FE1F3B">
      <w:pPr>
        <w:pStyle w:val="ListParagraph"/>
        <w:numPr>
          <w:ilvl w:val="0"/>
          <w:numId w:val="8"/>
        </w:numPr>
        <w:jc w:val="both"/>
        <w:rPr>
          <w:rFonts w:cs="Times New Roman"/>
        </w:rPr>
      </w:pPr>
      <w:r w:rsidRPr="002D0739">
        <w:rPr>
          <w:rFonts w:cs="Times New Roman"/>
        </w:rPr>
        <w:t>Review available evidence</w:t>
      </w:r>
      <w:r w:rsidR="00030F5C" w:rsidRPr="002D0739">
        <w:rPr>
          <w:rFonts w:cs="Times New Roman"/>
        </w:rPr>
        <w:t xml:space="preserve"> </w:t>
      </w:r>
      <w:r w:rsidR="00206004">
        <w:rPr>
          <w:rFonts w:cs="Times New Roman"/>
        </w:rPr>
        <w:t>on</w:t>
      </w:r>
      <w:r w:rsidR="000F12EA">
        <w:rPr>
          <w:rFonts w:cs="Times New Roman"/>
        </w:rPr>
        <w:t xml:space="preserve"> typology 3, the </w:t>
      </w:r>
      <w:r w:rsidR="00762B1F">
        <w:rPr>
          <w:rFonts w:cs="Times New Roman"/>
        </w:rPr>
        <w:t xml:space="preserve">integrated service model that are built from </w:t>
      </w:r>
      <w:r w:rsidR="00206004">
        <w:rPr>
          <w:rFonts w:cs="Times New Roman"/>
        </w:rPr>
        <w:t>inter-sectoral collaboration</w:t>
      </w:r>
      <w:r w:rsidR="00762B1F">
        <w:rPr>
          <w:rFonts w:cs="Times New Roman"/>
        </w:rPr>
        <w:t xml:space="preserve"> of existing national programmes/ policies, </w:t>
      </w:r>
      <w:r w:rsidR="00030F5C" w:rsidRPr="00973855">
        <w:rPr>
          <w:rFonts w:cs="Times New Roman"/>
        </w:rPr>
        <w:t xml:space="preserve"> including the identification and summarizing of all relevant peer-reviewed and non-peer reviewed journal articles, research reports and other relevant studies.</w:t>
      </w:r>
      <w:r w:rsidR="00206004">
        <w:rPr>
          <w:rFonts w:cs="Times New Roman"/>
        </w:rPr>
        <w:t xml:space="preserve"> </w:t>
      </w:r>
      <w:r w:rsidR="00762B1F">
        <w:rPr>
          <w:rFonts w:cs="Times New Roman"/>
        </w:rPr>
        <w:t>Based</w:t>
      </w:r>
      <w:r w:rsidR="003D1EB9" w:rsidRPr="002D0739">
        <w:rPr>
          <w:rFonts w:cs="Times New Roman"/>
        </w:rPr>
        <w:t xml:space="preserve"> on the review, i</w:t>
      </w:r>
      <w:r w:rsidR="003D1EB9" w:rsidRPr="00973855">
        <w:rPr>
          <w:rFonts w:cs="Times New Roman"/>
        </w:rPr>
        <w:t xml:space="preserve">dentify key examples of successful inter-sectoral collaborations, as well as key implementation challenges. </w:t>
      </w:r>
      <w:r w:rsidR="00126E58">
        <w:rPr>
          <w:rFonts w:cs="Times New Roman"/>
        </w:rPr>
        <w:t xml:space="preserve"> </w:t>
      </w:r>
      <w:r w:rsidR="003D1EB9">
        <w:rPr>
          <w:rFonts w:cs="Times New Roman"/>
        </w:rPr>
        <w:t>P</w:t>
      </w:r>
      <w:r w:rsidR="00126E58">
        <w:rPr>
          <w:rFonts w:cs="Times New Roman"/>
        </w:rPr>
        <w:t>resent and discuss key</w:t>
      </w:r>
      <w:r w:rsidR="00C773A3">
        <w:rPr>
          <w:rFonts w:cs="Times New Roman"/>
        </w:rPr>
        <w:t xml:space="preserve"> </w:t>
      </w:r>
      <w:r w:rsidR="00126E58">
        <w:rPr>
          <w:rFonts w:cs="Times New Roman"/>
        </w:rPr>
        <w:t xml:space="preserve">factors </w:t>
      </w:r>
      <w:r w:rsidR="003D1EB9">
        <w:rPr>
          <w:rFonts w:cs="Times New Roman"/>
        </w:rPr>
        <w:t xml:space="preserve">(mechanisms and triggers – political, economic or social) </w:t>
      </w:r>
      <w:r w:rsidR="00126E58">
        <w:rPr>
          <w:rFonts w:cs="Times New Roman"/>
        </w:rPr>
        <w:t>contributing to success</w:t>
      </w:r>
      <w:r w:rsidR="0010651D">
        <w:rPr>
          <w:rFonts w:cs="Times New Roman"/>
        </w:rPr>
        <w:t xml:space="preserve"> of existing</w:t>
      </w:r>
      <w:r w:rsidR="00126E58">
        <w:rPr>
          <w:rFonts w:cs="Times New Roman"/>
        </w:rPr>
        <w:t xml:space="preserve"> </w:t>
      </w:r>
      <w:r w:rsidR="0010651D">
        <w:rPr>
          <w:rFonts w:cs="Times New Roman"/>
        </w:rPr>
        <w:t xml:space="preserve">nation-wide </w:t>
      </w:r>
      <w:r w:rsidR="003D1EB9">
        <w:rPr>
          <w:rFonts w:cs="Times New Roman"/>
        </w:rPr>
        <w:t>policies being redirected toward CT beneficiaries</w:t>
      </w:r>
      <w:r w:rsidR="00A0565D">
        <w:rPr>
          <w:rFonts w:cs="Times New Roman"/>
        </w:rPr>
        <w:t xml:space="preserve">, and strategies for implementation at household level.  </w:t>
      </w:r>
      <w:r w:rsidR="00126E58">
        <w:rPr>
          <w:rFonts w:cs="Times New Roman"/>
        </w:rPr>
        <w:t>Present and discuss key challenges</w:t>
      </w:r>
      <w:r w:rsidR="003D1EB9">
        <w:rPr>
          <w:rFonts w:cs="Times New Roman"/>
        </w:rPr>
        <w:t xml:space="preserve"> (political, economic or</w:t>
      </w:r>
      <w:r w:rsidR="000321C7">
        <w:rPr>
          <w:rFonts w:cs="Times New Roman"/>
        </w:rPr>
        <w:t xml:space="preserve"> social barriers)</w:t>
      </w:r>
      <w:r w:rsidR="00126E58">
        <w:rPr>
          <w:rFonts w:cs="Times New Roman"/>
        </w:rPr>
        <w:t xml:space="preserve"> of</w:t>
      </w:r>
      <w:r w:rsidR="003D1EB9">
        <w:rPr>
          <w:rFonts w:cs="Times New Roman"/>
        </w:rPr>
        <w:t xml:space="preserve"> such </w:t>
      </w:r>
      <w:r w:rsidR="001E2F14">
        <w:rPr>
          <w:rFonts w:cs="Times New Roman"/>
        </w:rPr>
        <w:t>complementary initiatives</w:t>
      </w:r>
      <w:r w:rsidR="00126E58">
        <w:rPr>
          <w:rFonts w:cs="Times New Roman"/>
        </w:rPr>
        <w:t>.</w:t>
      </w:r>
      <w:r w:rsidR="000321C7">
        <w:rPr>
          <w:rFonts w:cs="Times New Roman"/>
        </w:rPr>
        <w:t xml:space="preserve"> </w:t>
      </w:r>
      <w:r w:rsidR="00AD0483">
        <w:rPr>
          <w:rFonts w:cs="Times New Roman"/>
        </w:rPr>
        <w:t xml:space="preserve"> </w:t>
      </w:r>
      <w:r w:rsidR="008C7881">
        <w:rPr>
          <w:rFonts w:cs="Times New Roman"/>
        </w:rPr>
        <w:t xml:space="preserve"> </w:t>
      </w:r>
    </w:p>
    <w:p w14:paraId="638692BA" w14:textId="4A94793E" w:rsidR="003D1EB9" w:rsidRPr="003D1EB9" w:rsidRDefault="00126E58" w:rsidP="003D1EB9">
      <w:pPr>
        <w:pStyle w:val="ListParagraph"/>
        <w:numPr>
          <w:ilvl w:val="0"/>
          <w:numId w:val="8"/>
        </w:numPr>
        <w:jc w:val="both"/>
        <w:rPr>
          <w:rFonts w:cs="Times New Roman"/>
        </w:rPr>
      </w:pPr>
      <w:r w:rsidRPr="003D1EB9">
        <w:rPr>
          <w:rFonts w:cs="Times New Roman"/>
        </w:rPr>
        <w:t>In collaboration with the Ghanaian counterpart, review the state of Ghanaian social protection programmes.</w:t>
      </w:r>
      <w:r w:rsidR="000F12EA">
        <w:rPr>
          <w:rFonts w:cs="Times New Roman"/>
        </w:rPr>
        <w:t xml:space="preserve"> </w:t>
      </w:r>
      <w:r w:rsidRPr="003D1EB9">
        <w:rPr>
          <w:rFonts w:cs="Times New Roman"/>
        </w:rPr>
        <w:t>Identify</w:t>
      </w:r>
      <w:r w:rsidR="000F12EA">
        <w:rPr>
          <w:rFonts w:cs="Times New Roman"/>
        </w:rPr>
        <w:t xml:space="preserve"> the main </w:t>
      </w:r>
      <w:r w:rsidR="003D1EB9" w:rsidRPr="003D1EB9">
        <w:rPr>
          <w:rFonts w:cs="Times New Roman"/>
        </w:rPr>
        <w:t>integrated service</w:t>
      </w:r>
      <w:r w:rsidR="000F12EA">
        <w:rPr>
          <w:rFonts w:cs="Times New Roman"/>
        </w:rPr>
        <w:t xml:space="preserve"> models </w:t>
      </w:r>
      <w:r w:rsidR="00762B1F">
        <w:rPr>
          <w:rFonts w:cs="Times New Roman"/>
        </w:rPr>
        <w:t xml:space="preserve">of existing national programmes </w:t>
      </w:r>
      <w:r w:rsidRPr="003D1EB9">
        <w:rPr>
          <w:rFonts w:cs="Times New Roman"/>
        </w:rPr>
        <w:t>and their mechanisms of operation</w:t>
      </w:r>
      <w:r w:rsidR="00762B1F">
        <w:rPr>
          <w:rFonts w:cs="Times New Roman"/>
        </w:rPr>
        <w:t>, using the LEAP-NHIS example</w:t>
      </w:r>
      <w:r w:rsidRPr="003D1EB9">
        <w:rPr>
          <w:rFonts w:cs="Times New Roman"/>
        </w:rPr>
        <w:t xml:space="preserve">. </w:t>
      </w:r>
      <w:r w:rsidR="000C01D4">
        <w:rPr>
          <w:rFonts w:cs="Times New Roman"/>
        </w:rPr>
        <w:t xml:space="preserve">Explore the way it operates at the national and subnational level. </w:t>
      </w:r>
      <w:r w:rsidRPr="003D1EB9">
        <w:rPr>
          <w:rFonts w:cs="Times New Roman"/>
        </w:rPr>
        <w:t>Analyse the successes and challenges of th</w:t>
      </w:r>
      <w:r w:rsidR="00762B1F">
        <w:rPr>
          <w:rFonts w:cs="Times New Roman"/>
        </w:rPr>
        <w:t xml:space="preserve">is particular inter-sectoral collaboration, particularly the implementation challenges at field/household level.  </w:t>
      </w:r>
      <w:r w:rsidR="003D07D7">
        <w:rPr>
          <w:rFonts w:cs="Times New Roman"/>
        </w:rPr>
        <w:t xml:space="preserve"> </w:t>
      </w:r>
      <w:r w:rsidR="009A6CD9" w:rsidRPr="003D07D7">
        <w:rPr>
          <w:rFonts w:cs="Times New Roman"/>
        </w:rPr>
        <w:t xml:space="preserve"> </w:t>
      </w:r>
    </w:p>
    <w:p w14:paraId="3CB7C43C" w14:textId="639E9A4A" w:rsidR="00AD0483" w:rsidRPr="003D07D7" w:rsidRDefault="00AD0483" w:rsidP="003D1EB9">
      <w:pPr>
        <w:pStyle w:val="ListParagraph"/>
        <w:numPr>
          <w:ilvl w:val="0"/>
          <w:numId w:val="8"/>
        </w:numPr>
        <w:jc w:val="both"/>
        <w:rPr>
          <w:rFonts w:cs="Times New Roman"/>
        </w:rPr>
      </w:pPr>
      <w:r w:rsidRPr="003D1EB9">
        <w:rPr>
          <w:rFonts w:cs="Times New Roman"/>
        </w:rPr>
        <w:t xml:space="preserve">Discuss recommendations </w:t>
      </w:r>
      <w:r w:rsidR="004634A2" w:rsidRPr="003D1EB9">
        <w:rPr>
          <w:rFonts w:cs="Times New Roman"/>
        </w:rPr>
        <w:t xml:space="preserve">for the way forward to enhance </w:t>
      </w:r>
      <w:r w:rsidR="009A6CD9" w:rsidRPr="003D1EB9">
        <w:rPr>
          <w:rFonts w:cs="Times New Roman"/>
        </w:rPr>
        <w:t>the inter-sectoral collabora</w:t>
      </w:r>
      <w:r w:rsidRPr="003D1EB9">
        <w:rPr>
          <w:rFonts w:cs="Times New Roman"/>
        </w:rPr>
        <w:t xml:space="preserve">tion for </w:t>
      </w:r>
      <w:r w:rsidR="003D07D7">
        <w:rPr>
          <w:rFonts w:cs="Times New Roman"/>
        </w:rPr>
        <w:t>in Ghana</w:t>
      </w:r>
      <w:r w:rsidRPr="003D1EB9">
        <w:rPr>
          <w:rFonts w:cs="Times New Roman"/>
        </w:rPr>
        <w:t>, including pro</w:t>
      </w:r>
      <w:r w:rsidRPr="003D07D7">
        <w:rPr>
          <w:rFonts w:cs="Times New Roman"/>
        </w:rPr>
        <w:t>spective areas for future</w:t>
      </w:r>
      <w:r w:rsidR="00762B1F">
        <w:rPr>
          <w:rFonts w:cs="Times New Roman"/>
        </w:rPr>
        <w:t xml:space="preserve"> multi-sectoral collaboration </w:t>
      </w:r>
      <w:r w:rsidR="00A0565D">
        <w:rPr>
          <w:rFonts w:cs="Times New Roman"/>
        </w:rPr>
        <w:t>and the key components required for</w:t>
      </w:r>
      <w:r w:rsidRPr="003D07D7">
        <w:rPr>
          <w:rFonts w:cs="Times New Roman"/>
        </w:rPr>
        <w:t xml:space="preserve"> integrated service delivery</w:t>
      </w:r>
      <w:r w:rsidR="000C01D4">
        <w:rPr>
          <w:rFonts w:cs="Times New Roman"/>
        </w:rPr>
        <w:t>. Examples of prospective collaboration include School Feeding Programme, Labour Intensive Public Works, Education Capitation Grant, and the Free Uniform and Textbook Programme.</w:t>
      </w:r>
    </w:p>
    <w:p w14:paraId="70F00364" w14:textId="77777777" w:rsidR="00132ABE" w:rsidRPr="00126E58" w:rsidRDefault="00030F5C" w:rsidP="003F292D">
      <w:pPr>
        <w:pStyle w:val="ListParagraph"/>
        <w:numPr>
          <w:ilvl w:val="0"/>
          <w:numId w:val="11"/>
        </w:numPr>
        <w:jc w:val="both"/>
        <w:rPr>
          <w:rFonts w:cs="Times New Roman"/>
        </w:rPr>
      </w:pPr>
      <w:r w:rsidRPr="00126E58">
        <w:rPr>
          <w:rFonts w:cs="Times New Roman"/>
        </w:rPr>
        <w:t>Produce a presentation of the outcomes of the thematic study and help disseminate the results to relevant stakeholders and institutions.</w:t>
      </w:r>
    </w:p>
    <w:p w14:paraId="42BF0C1D" w14:textId="77777777" w:rsidR="00132ABE" w:rsidRDefault="00132ABE" w:rsidP="00045F75">
      <w:pPr>
        <w:tabs>
          <w:tab w:val="left" w:pos="2160"/>
        </w:tabs>
        <w:spacing w:after="240"/>
        <w:jc w:val="both"/>
        <w:rPr>
          <w:b/>
        </w:rPr>
      </w:pPr>
      <w:r>
        <w:rPr>
          <w:b/>
        </w:rPr>
        <w:t>Roles and Responsibilities:</w:t>
      </w:r>
    </w:p>
    <w:p w14:paraId="364086E2" w14:textId="77777777" w:rsidR="00132ABE" w:rsidRPr="00BE0F41" w:rsidRDefault="00132ABE" w:rsidP="00BE0F41">
      <w:pPr>
        <w:pStyle w:val="ListParagraph"/>
        <w:numPr>
          <w:ilvl w:val="0"/>
          <w:numId w:val="11"/>
        </w:numPr>
        <w:jc w:val="both"/>
        <w:rPr>
          <w:rFonts w:cs="Times New Roman"/>
        </w:rPr>
      </w:pPr>
      <w:r w:rsidRPr="00BE0F41">
        <w:rPr>
          <w:rFonts w:cs="Times New Roman"/>
          <w:b/>
          <w:bCs/>
        </w:rPr>
        <w:t>International Academic Expert</w:t>
      </w:r>
      <w:r w:rsidRPr="00BE0F41">
        <w:rPr>
          <w:rFonts w:cs="Times New Roman"/>
        </w:rPr>
        <w:t>: Provide the overall knowledge framework</w:t>
      </w:r>
      <w:r w:rsidR="00E23E92" w:rsidRPr="00BE0F41">
        <w:rPr>
          <w:rFonts w:cs="Times New Roman"/>
        </w:rPr>
        <w:t xml:space="preserve">, </w:t>
      </w:r>
      <w:r w:rsidRPr="00BE0F41">
        <w:rPr>
          <w:rFonts w:cs="Times New Roman"/>
        </w:rPr>
        <w:t>direction</w:t>
      </w:r>
      <w:r w:rsidR="00E23E92" w:rsidRPr="00BE0F41">
        <w:rPr>
          <w:rFonts w:cs="Times New Roman"/>
        </w:rPr>
        <w:t xml:space="preserve"> and writing</w:t>
      </w:r>
      <w:r w:rsidRPr="00BE0F41">
        <w:rPr>
          <w:rFonts w:cs="Times New Roman"/>
        </w:rPr>
        <w:t xml:space="preserve"> on how the study should be undertaken, including </w:t>
      </w:r>
      <w:r w:rsidR="00126E58">
        <w:rPr>
          <w:rFonts w:cs="Times New Roman"/>
        </w:rPr>
        <w:t xml:space="preserve">leading the review and </w:t>
      </w:r>
      <w:r w:rsidRPr="00BE0F41">
        <w:rPr>
          <w:rFonts w:cs="Times New Roman"/>
        </w:rPr>
        <w:t>identifying the various country case examples. Coordinating with the Ghanaian</w:t>
      </w:r>
      <w:r w:rsidR="00CE693A">
        <w:rPr>
          <w:rFonts w:cs="Times New Roman"/>
        </w:rPr>
        <w:t xml:space="preserve">, </w:t>
      </w:r>
      <w:proofErr w:type="spellStart"/>
      <w:r w:rsidR="00CE693A">
        <w:rPr>
          <w:rFonts w:cs="Times New Roman"/>
        </w:rPr>
        <w:t>OoR</w:t>
      </w:r>
      <w:proofErr w:type="spellEnd"/>
      <w:r w:rsidRPr="00BE0F41">
        <w:rPr>
          <w:rFonts w:cs="Times New Roman"/>
        </w:rPr>
        <w:t xml:space="preserve"> and UNICEF Ghana CO expert on the content;</w:t>
      </w:r>
    </w:p>
    <w:p w14:paraId="6483577A" w14:textId="77777777" w:rsidR="00AA421C" w:rsidRPr="00BE0F41" w:rsidRDefault="00132ABE" w:rsidP="00BE0F41">
      <w:pPr>
        <w:pStyle w:val="ListParagraph"/>
        <w:numPr>
          <w:ilvl w:val="0"/>
          <w:numId w:val="11"/>
        </w:numPr>
        <w:jc w:val="both"/>
        <w:rPr>
          <w:rFonts w:cs="Times New Roman"/>
        </w:rPr>
      </w:pPr>
      <w:r w:rsidRPr="00BE0F41">
        <w:rPr>
          <w:rFonts w:cs="Times New Roman"/>
          <w:b/>
          <w:bCs/>
        </w:rPr>
        <w:t>Ghanaian Academic</w:t>
      </w:r>
      <w:r w:rsidRPr="00BE0F41">
        <w:rPr>
          <w:rFonts w:cs="Times New Roman"/>
        </w:rPr>
        <w:t>: Focus</w:t>
      </w:r>
      <w:r w:rsidR="00126E58">
        <w:rPr>
          <w:rFonts w:cs="Times New Roman"/>
        </w:rPr>
        <w:t xml:space="preserve"> will mainly be on the analysis of </w:t>
      </w:r>
      <w:r w:rsidRPr="00BE0F41">
        <w:rPr>
          <w:rFonts w:cs="Times New Roman"/>
        </w:rPr>
        <w:t xml:space="preserve">Ghana’s social protection system and discussing the </w:t>
      </w:r>
      <w:r w:rsidR="00AA421C" w:rsidRPr="00BE0F41">
        <w:rPr>
          <w:rFonts w:cs="Times New Roman"/>
        </w:rPr>
        <w:t xml:space="preserve">Ghana model in comparison to </w:t>
      </w:r>
      <w:r w:rsidR="00126E58">
        <w:rPr>
          <w:rFonts w:cs="Times New Roman"/>
        </w:rPr>
        <w:t>other key examples from the global review</w:t>
      </w:r>
      <w:r w:rsidR="00AA421C" w:rsidRPr="00BE0F41">
        <w:rPr>
          <w:rFonts w:cs="Times New Roman"/>
        </w:rPr>
        <w:t xml:space="preserve">, contribute to identifying the </w:t>
      </w:r>
      <w:r w:rsidR="00126E58">
        <w:rPr>
          <w:rFonts w:cs="Times New Roman"/>
        </w:rPr>
        <w:t xml:space="preserve">successes and </w:t>
      </w:r>
      <w:r w:rsidR="00AA421C" w:rsidRPr="00BE0F41">
        <w:rPr>
          <w:rFonts w:cs="Times New Roman"/>
        </w:rPr>
        <w:t>challenges</w:t>
      </w:r>
      <w:r w:rsidR="00126E58">
        <w:rPr>
          <w:rFonts w:cs="Times New Roman"/>
        </w:rPr>
        <w:t xml:space="preserve"> and providing general input to the final research paper</w:t>
      </w:r>
      <w:r w:rsidR="00AA421C" w:rsidRPr="00BE0F41">
        <w:rPr>
          <w:rFonts w:cs="Times New Roman"/>
        </w:rPr>
        <w:t xml:space="preserve">. </w:t>
      </w:r>
      <w:r w:rsidRPr="00BE0F41">
        <w:rPr>
          <w:rFonts w:cs="Times New Roman"/>
        </w:rPr>
        <w:t xml:space="preserve"> </w:t>
      </w:r>
    </w:p>
    <w:p w14:paraId="1DBFD92F" w14:textId="77777777" w:rsidR="00132ABE" w:rsidRDefault="00132ABE" w:rsidP="00BE0F41">
      <w:pPr>
        <w:pStyle w:val="ListParagraph"/>
        <w:numPr>
          <w:ilvl w:val="0"/>
          <w:numId w:val="11"/>
        </w:numPr>
        <w:jc w:val="both"/>
        <w:rPr>
          <w:rFonts w:cs="Times New Roman"/>
        </w:rPr>
      </w:pPr>
      <w:r w:rsidRPr="00BE0F41">
        <w:rPr>
          <w:rFonts w:cs="Times New Roman"/>
          <w:b/>
          <w:bCs/>
        </w:rPr>
        <w:t>UNICEF Ghana CO expert</w:t>
      </w:r>
      <w:r w:rsidRPr="00BE0F41">
        <w:rPr>
          <w:rFonts w:cs="Times New Roman"/>
        </w:rPr>
        <w:t xml:space="preserve">: Provide inputs </w:t>
      </w:r>
      <w:r w:rsidR="00E23E92" w:rsidRPr="00BE0F41">
        <w:rPr>
          <w:rFonts w:cs="Times New Roman"/>
        </w:rPr>
        <w:t xml:space="preserve">into the overall structure of the paper to ensure its usefulness </w:t>
      </w:r>
      <w:r w:rsidRPr="00BE0F41">
        <w:rPr>
          <w:rFonts w:cs="Times New Roman"/>
        </w:rPr>
        <w:t>to the Ghana context</w:t>
      </w:r>
      <w:r w:rsidR="00E23E92" w:rsidRPr="00BE0F41">
        <w:rPr>
          <w:rFonts w:cs="Times New Roman"/>
        </w:rPr>
        <w:t xml:space="preserve">; provide inputs to the conceptual aspects and </w:t>
      </w:r>
      <w:r w:rsidR="00126E58">
        <w:rPr>
          <w:rFonts w:cs="Times New Roman"/>
        </w:rPr>
        <w:t>key examples</w:t>
      </w:r>
      <w:r w:rsidR="00E23E92" w:rsidRPr="00BE0F41">
        <w:rPr>
          <w:rFonts w:cs="Times New Roman"/>
        </w:rPr>
        <w:t xml:space="preserve">; and inputs in the </w:t>
      </w:r>
      <w:r w:rsidRPr="00BE0F41">
        <w:rPr>
          <w:rFonts w:cs="Times New Roman"/>
        </w:rPr>
        <w:t xml:space="preserve">analysis of the current state of Ghana’s social protection system. </w:t>
      </w:r>
    </w:p>
    <w:p w14:paraId="63FBAF32" w14:textId="77777777" w:rsidR="00BE0F41" w:rsidRPr="00BE0F41" w:rsidRDefault="00BE0F41" w:rsidP="00CE693A">
      <w:pPr>
        <w:pStyle w:val="ListParagraph"/>
        <w:numPr>
          <w:ilvl w:val="0"/>
          <w:numId w:val="11"/>
        </w:numPr>
        <w:jc w:val="both"/>
        <w:rPr>
          <w:rFonts w:cs="Times New Roman"/>
        </w:rPr>
      </w:pPr>
      <w:r>
        <w:rPr>
          <w:rFonts w:cs="Times New Roman"/>
          <w:b/>
          <w:bCs/>
        </w:rPr>
        <w:t xml:space="preserve">UNICEF Office of Research </w:t>
      </w:r>
      <w:r w:rsidRPr="00BE0F41">
        <w:rPr>
          <w:rFonts w:cs="Times New Roman"/>
          <w:b/>
          <w:bCs/>
        </w:rPr>
        <w:t>– Innocenti</w:t>
      </w:r>
      <w:r>
        <w:rPr>
          <w:rFonts w:cs="Times New Roman"/>
        </w:rPr>
        <w:t>: Provide overall guidance and support to the thematic study</w:t>
      </w:r>
      <w:r w:rsidR="00CE693A">
        <w:rPr>
          <w:rFonts w:cs="Times New Roman"/>
        </w:rPr>
        <w:t xml:space="preserve">; </w:t>
      </w:r>
      <w:r w:rsidR="00CE693A" w:rsidRPr="00CE693A">
        <w:rPr>
          <w:rFonts w:cs="Times New Roman"/>
        </w:rPr>
        <w:t xml:space="preserve">provide inputs to the conceptual aspects and </w:t>
      </w:r>
      <w:r w:rsidR="005D5705">
        <w:rPr>
          <w:rFonts w:cs="Times New Roman"/>
        </w:rPr>
        <w:t>global review of evidence</w:t>
      </w:r>
      <w:r w:rsidR="00CE693A">
        <w:rPr>
          <w:rFonts w:cs="Times New Roman"/>
        </w:rPr>
        <w:t>; facilitate communication and coordination between researchers.</w:t>
      </w:r>
    </w:p>
    <w:p w14:paraId="497D0A2C" w14:textId="77777777" w:rsidR="00EC040A" w:rsidRDefault="00EC040A" w:rsidP="00BE0F41">
      <w:pPr>
        <w:numPr>
          <w:ilvl w:val="0"/>
          <w:numId w:val="1"/>
        </w:numPr>
        <w:tabs>
          <w:tab w:val="left" w:pos="2160"/>
        </w:tabs>
        <w:spacing w:after="240"/>
        <w:ind w:left="461" w:hanging="461"/>
        <w:jc w:val="both"/>
        <w:rPr>
          <w:b/>
        </w:rPr>
      </w:pPr>
      <w:r w:rsidRPr="000A06A4">
        <w:rPr>
          <w:b/>
        </w:rPr>
        <w:t>Specific outputs/products/results with specific deliv</w:t>
      </w:r>
      <w:r w:rsidRPr="00EC52D1">
        <w:rPr>
          <w:b/>
        </w:rPr>
        <w:t>ery dates:</w:t>
      </w:r>
    </w:p>
    <w:p w14:paraId="5CFC213C" w14:textId="77777777" w:rsidR="00CB6E95" w:rsidRDefault="00CB6E95" w:rsidP="00BE0F41">
      <w:pPr>
        <w:spacing w:after="240"/>
        <w:jc w:val="both"/>
      </w:pPr>
      <w:r>
        <w:t xml:space="preserve">The thematic study is home-based, with frequent communication between the </w:t>
      </w:r>
      <w:r w:rsidR="00D22358">
        <w:t xml:space="preserve">selected </w:t>
      </w:r>
      <w:r w:rsidR="00CE693A">
        <w:t>expert</w:t>
      </w:r>
      <w:r>
        <w:t xml:space="preserve">, </w:t>
      </w:r>
      <w:proofErr w:type="spellStart"/>
      <w:r>
        <w:t>OoR</w:t>
      </w:r>
      <w:proofErr w:type="spellEnd"/>
      <w:r>
        <w:t>, UNICEF Ghana and the Ghanaian researcher.</w:t>
      </w:r>
    </w:p>
    <w:p w14:paraId="4F93E02D" w14:textId="735966C7" w:rsidR="00DE70F2" w:rsidRDefault="00CB6E95" w:rsidP="00BE0F41">
      <w:pPr>
        <w:tabs>
          <w:tab w:val="left" w:pos="2160"/>
        </w:tabs>
        <w:spacing w:after="240"/>
        <w:jc w:val="both"/>
      </w:pPr>
      <w:r>
        <w:t xml:space="preserve">The thematic study is expected to take place </w:t>
      </w:r>
      <w:r w:rsidRPr="001E2F14">
        <w:t xml:space="preserve">between </w:t>
      </w:r>
      <w:r w:rsidR="00942F34">
        <w:t>December</w:t>
      </w:r>
      <w:r w:rsidR="00045F75" w:rsidRPr="001E2F14">
        <w:t xml:space="preserve"> </w:t>
      </w:r>
      <w:r w:rsidR="001E2F14" w:rsidRPr="001E2F14">
        <w:t>2015 and April 2016</w:t>
      </w:r>
      <w:r w:rsidR="00045F75" w:rsidRPr="001E2F14">
        <w:t>.</w:t>
      </w:r>
    </w:p>
    <w:tbl>
      <w:tblPr>
        <w:tblStyle w:val="TableGrid"/>
        <w:tblW w:w="0" w:type="auto"/>
        <w:tblLook w:val="04A0" w:firstRow="1" w:lastRow="0" w:firstColumn="1" w:lastColumn="0" w:noHBand="0" w:noVBand="1"/>
      </w:tblPr>
      <w:tblGrid>
        <w:gridCol w:w="4508"/>
        <w:gridCol w:w="4508"/>
      </w:tblGrid>
      <w:tr w:rsidR="00CB6E95" w:rsidRPr="00CB6E95" w14:paraId="4470FA16" w14:textId="77777777" w:rsidTr="00CB6E95">
        <w:tc>
          <w:tcPr>
            <w:tcW w:w="4508" w:type="dxa"/>
          </w:tcPr>
          <w:p w14:paraId="770BEEF8" w14:textId="77777777" w:rsidR="00CB6E95" w:rsidRPr="00CB6E95" w:rsidRDefault="00CB6E95" w:rsidP="00BE0F41">
            <w:pPr>
              <w:tabs>
                <w:tab w:val="left" w:pos="2160"/>
              </w:tabs>
              <w:spacing w:line="276" w:lineRule="auto"/>
              <w:jc w:val="both"/>
              <w:rPr>
                <w:b/>
              </w:rPr>
            </w:pPr>
            <w:r w:rsidRPr="00CB6E95">
              <w:rPr>
                <w:b/>
              </w:rPr>
              <w:t>Deliverables</w:t>
            </w:r>
          </w:p>
        </w:tc>
        <w:tc>
          <w:tcPr>
            <w:tcW w:w="4508" w:type="dxa"/>
          </w:tcPr>
          <w:p w14:paraId="1FDB8B05" w14:textId="77777777" w:rsidR="00CB6E95" w:rsidRPr="00CB6E95" w:rsidRDefault="00CB6E95" w:rsidP="00BE0F41">
            <w:pPr>
              <w:tabs>
                <w:tab w:val="left" w:pos="2160"/>
              </w:tabs>
              <w:spacing w:line="276" w:lineRule="auto"/>
              <w:jc w:val="both"/>
              <w:rPr>
                <w:b/>
              </w:rPr>
            </w:pPr>
            <w:r>
              <w:rPr>
                <w:b/>
              </w:rPr>
              <w:t>Due date</w:t>
            </w:r>
          </w:p>
        </w:tc>
      </w:tr>
      <w:tr w:rsidR="001E2F14" w:rsidRPr="001E2F14" w14:paraId="566D966F" w14:textId="77777777" w:rsidTr="00CB6E95">
        <w:tc>
          <w:tcPr>
            <w:tcW w:w="4508" w:type="dxa"/>
          </w:tcPr>
          <w:p w14:paraId="3EB8682D" w14:textId="45310BD9" w:rsidR="001E2F14" w:rsidRPr="001E2F14" w:rsidRDefault="001E2F14" w:rsidP="00BE0F41">
            <w:pPr>
              <w:tabs>
                <w:tab w:val="left" w:pos="2160"/>
              </w:tabs>
              <w:jc w:val="both"/>
            </w:pPr>
            <w:r w:rsidRPr="001E2F14">
              <w:t>Contract signature</w:t>
            </w:r>
          </w:p>
        </w:tc>
        <w:tc>
          <w:tcPr>
            <w:tcW w:w="4508" w:type="dxa"/>
          </w:tcPr>
          <w:p w14:paraId="43816788" w14:textId="6661D297" w:rsidR="001E2F14" w:rsidRPr="001E2F14" w:rsidRDefault="00965AEF" w:rsidP="00793385">
            <w:pPr>
              <w:tabs>
                <w:tab w:val="left" w:pos="2160"/>
              </w:tabs>
              <w:jc w:val="both"/>
            </w:pPr>
            <w:r>
              <w:t>4 Dece</w:t>
            </w:r>
            <w:r w:rsidR="001E2F14">
              <w:t>mber 2015</w:t>
            </w:r>
          </w:p>
        </w:tc>
      </w:tr>
      <w:tr w:rsidR="00045F75" w14:paraId="787E2426" w14:textId="77777777" w:rsidTr="00CB6E95">
        <w:tc>
          <w:tcPr>
            <w:tcW w:w="4508" w:type="dxa"/>
          </w:tcPr>
          <w:p w14:paraId="3D36EB78" w14:textId="77777777" w:rsidR="00045F75" w:rsidRDefault="00045F75" w:rsidP="00BE0F41">
            <w:pPr>
              <w:tabs>
                <w:tab w:val="left" w:pos="2160"/>
              </w:tabs>
              <w:spacing w:line="276" w:lineRule="auto"/>
              <w:jc w:val="both"/>
            </w:pPr>
            <w:r>
              <w:t>Annotated  Paper Outline</w:t>
            </w:r>
          </w:p>
        </w:tc>
        <w:tc>
          <w:tcPr>
            <w:tcW w:w="4508" w:type="dxa"/>
          </w:tcPr>
          <w:p w14:paraId="7EF42D63" w14:textId="7274A7C2" w:rsidR="00045F75" w:rsidRPr="00966F2C" w:rsidRDefault="00793385" w:rsidP="00965AEF">
            <w:pPr>
              <w:tabs>
                <w:tab w:val="left" w:pos="2160"/>
              </w:tabs>
              <w:spacing w:line="276" w:lineRule="auto"/>
              <w:jc w:val="both"/>
            </w:pPr>
            <w:r>
              <w:t xml:space="preserve">December </w:t>
            </w:r>
            <w:r w:rsidR="00965AEF">
              <w:t>20</w:t>
            </w:r>
            <w:r>
              <w:t xml:space="preserve"> </w:t>
            </w:r>
            <w:r w:rsidR="00045F75" w:rsidRPr="00966F2C">
              <w:t>2015</w:t>
            </w:r>
          </w:p>
        </w:tc>
      </w:tr>
      <w:tr w:rsidR="00045F75" w14:paraId="451F9181" w14:textId="77777777" w:rsidTr="00CB6E95">
        <w:tc>
          <w:tcPr>
            <w:tcW w:w="4508" w:type="dxa"/>
          </w:tcPr>
          <w:p w14:paraId="1A3DC94E" w14:textId="77777777" w:rsidR="00045F75" w:rsidRDefault="00045F75" w:rsidP="00BE0F41">
            <w:pPr>
              <w:tabs>
                <w:tab w:val="left" w:pos="2160"/>
              </w:tabs>
              <w:spacing w:line="276" w:lineRule="auto"/>
              <w:jc w:val="both"/>
            </w:pPr>
            <w:r>
              <w:t>First draft</w:t>
            </w:r>
          </w:p>
        </w:tc>
        <w:tc>
          <w:tcPr>
            <w:tcW w:w="4508" w:type="dxa"/>
          </w:tcPr>
          <w:p w14:paraId="4F6086C8" w14:textId="17AD0432" w:rsidR="00045F75" w:rsidRPr="00966F2C" w:rsidRDefault="001E2F14" w:rsidP="001E2F14">
            <w:pPr>
              <w:tabs>
                <w:tab w:val="left" w:pos="2160"/>
              </w:tabs>
              <w:spacing w:line="276" w:lineRule="auto"/>
              <w:jc w:val="both"/>
            </w:pPr>
            <w:r w:rsidRPr="00966F2C">
              <w:t xml:space="preserve">February </w:t>
            </w:r>
            <w:r w:rsidR="00045F75" w:rsidRPr="00966F2C">
              <w:t>1 201</w:t>
            </w:r>
            <w:r w:rsidRPr="00966F2C">
              <w:t>6</w:t>
            </w:r>
          </w:p>
        </w:tc>
      </w:tr>
      <w:tr w:rsidR="00045F75" w14:paraId="1586141D" w14:textId="77777777" w:rsidTr="00CB6E95">
        <w:tc>
          <w:tcPr>
            <w:tcW w:w="4508" w:type="dxa"/>
          </w:tcPr>
          <w:p w14:paraId="671DDC73" w14:textId="273D987B" w:rsidR="00045F75" w:rsidRDefault="001E2F14" w:rsidP="001E2F14">
            <w:pPr>
              <w:tabs>
                <w:tab w:val="left" w:pos="2160"/>
              </w:tabs>
              <w:spacing w:line="276" w:lineRule="auto"/>
              <w:jc w:val="both"/>
            </w:pPr>
            <w:r>
              <w:t>Revised</w:t>
            </w:r>
            <w:r w:rsidR="00045F75">
              <w:t xml:space="preserve"> draft</w:t>
            </w:r>
          </w:p>
        </w:tc>
        <w:tc>
          <w:tcPr>
            <w:tcW w:w="4508" w:type="dxa"/>
          </w:tcPr>
          <w:p w14:paraId="7F9F18C4" w14:textId="771C97A6" w:rsidR="00045F75" w:rsidRPr="00966F2C" w:rsidRDefault="001E2F14" w:rsidP="001E2F14">
            <w:pPr>
              <w:tabs>
                <w:tab w:val="left" w:pos="2160"/>
              </w:tabs>
              <w:spacing w:line="276" w:lineRule="auto"/>
              <w:jc w:val="both"/>
            </w:pPr>
            <w:r w:rsidRPr="00966F2C">
              <w:t>March 1</w:t>
            </w:r>
            <w:r w:rsidR="00045F75" w:rsidRPr="00966F2C">
              <w:t xml:space="preserve"> 201</w:t>
            </w:r>
            <w:r w:rsidRPr="00966F2C">
              <w:t>6</w:t>
            </w:r>
          </w:p>
        </w:tc>
      </w:tr>
      <w:tr w:rsidR="00045F75" w14:paraId="0BF5919B" w14:textId="77777777" w:rsidTr="00CB6E95">
        <w:tc>
          <w:tcPr>
            <w:tcW w:w="4508" w:type="dxa"/>
          </w:tcPr>
          <w:p w14:paraId="53BE4838" w14:textId="77777777" w:rsidR="00045F75" w:rsidRDefault="00045F75" w:rsidP="00BE0F41">
            <w:pPr>
              <w:tabs>
                <w:tab w:val="left" w:pos="2160"/>
              </w:tabs>
              <w:spacing w:line="276" w:lineRule="auto"/>
              <w:jc w:val="both"/>
            </w:pPr>
            <w:r>
              <w:t>Final paper and presentation</w:t>
            </w:r>
          </w:p>
        </w:tc>
        <w:tc>
          <w:tcPr>
            <w:tcW w:w="4508" w:type="dxa"/>
          </w:tcPr>
          <w:p w14:paraId="45E56236" w14:textId="334A8244" w:rsidR="00045F75" w:rsidRPr="00966F2C" w:rsidRDefault="001E2F14" w:rsidP="001E2F14">
            <w:pPr>
              <w:tabs>
                <w:tab w:val="left" w:pos="2160"/>
              </w:tabs>
              <w:spacing w:line="276" w:lineRule="auto"/>
              <w:jc w:val="both"/>
            </w:pPr>
            <w:r w:rsidRPr="00966F2C">
              <w:t>April 1</w:t>
            </w:r>
            <w:r w:rsidR="00045F75" w:rsidRPr="00966F2C">
              <w:t xml:space="preserve"> 201</w:t>
            </w:r>
            <w:r w:rsidRPr="00966F2C">
              <w:t>6</w:t>
            </w:r>
          </w:p>
        </w:tc>
      </w:tr>
    </w:tbl>
    <w:p w14:paraId="296D57C6" w14:textId="77777777" w:rsidR="00EC040A" w:rsidRPr="00F924D7" w:rsidRDefault="00EC040A" w:rsidP="00894ECA">
      <w:pPr>
        <w:numPr>
          <w:ilvl w:val="0"/>
          <w:numId w:val="1"/>
        </w:numPr>
        <w:tabs>
          <w:tab w:val="clear" w:pos="567"/>
        </w:tabs>
        <w:spacing w:after="240"/>
        <w:ind w:left="461" w:hanging="461"/>
        <w:jc w:val="both"/>
        <w:rPr>
          <w:b/>
        </w:rPr>
      </w:pPr>
      <w:r w:rsidRPr="000A06A4">
        <w:rPr>
          <w:b/>
        </w:rPr>
        <w:t xml:space="preserve">Qualifications and/or specialized knowledge/experience required and desirable for </w:t>
      </w:r>
      <w:r w:rsidRPr="00F924D7">
        <w:rPr>
          <w:b/>
        </w:rPr>
        <w:t>undertak</w:t>
      </w:r>
      <w:r>
        <w:rPr>
          <w:b/>
        </w:rPr>
        <w:t>ing</w:t>
      </w:r>
      <w:r w:rsidRPr="00F924D7">
        <w:rPr>
          <w:b/>
        </w:rPr>
        <w:t xml:space="preserve"> the assignment</w:t>
      </w:r>
      <w:r>
        <w:rPr>
          <w:b/>
        </w:rPr>
        <w:t>:</w:t>
      </w:r>
    </w:p>
    <w:p w14:paraId="62CD0D83" w14:textId="755A71DF" w:rsidR="00B11906" w:rsidRDefault="00B11906" w:rsidP="00BE0F41">
      <w:pPr>
        <w:pStyle w:val="ListParagraph"/>
        <w:numPr>
          <w:ilvl w:val="0"/>
          <w:numId w:val="10"/>
        </w:numPr>
        <w:jc w:val="both"/>
        <w:rPr>
          <w:rFonts w:cs="Times New Roman"/>
        </w:rPr>
      </w:pPr>
      <w:r w:rsidRPr="00B11906">
        <w:rPr>
          <w:rFonts w:cs="Times New Roman"/>
        </w:rPr>
        <w:t xml:space="preserve">Advanced degree (PhD) in relevant </w:t>
      </w:r>
      <w:r w:rsidR="00D22358">
        <w:rPr>
          <w:rFonts w:cs="Times New Roman"/>
        </w:rPr>
        <w:t>disciplines such as</w:t>
      </w:r>
      <w:r w:rsidRPr="00B11906">
        <w:rPr>
          <w:rFonts w:cs="Times New Roman"/>
        </w:rPr>
        <w:t>, Economics, Public Policy, Sociology</w:t>
      </w:r>
      <w:r w:rsidR="00E81589">
        <w:rPr>
          <w:rFonts w:cs="Times New Roman"/>
        </w:rPr>
        <w:t>, Social Policy</w:t>
      </w:r>
      <w:r w:rsidR="00966F2C">
        <w:rPr>
          <w:rFonts w:cs="Times New Roman"/>
        </w:rPr>
        <w:t>, Political Science</w:t>
      </w:r>
      <w:r w:rsidRPr="00B11906">
        <w:rPr>
          <w:rFonts w:cs="Times New Roman"/>
        </w:rPr>
        <w:t xml:space="preserve"> or related disciplines</w:t>
      </w:r>
      <w:r w:rsidR="00966F2C">
        <w:rPr>
          <w:rFonts w:cs="Times New Roman"/>
        </w:rPr>
        <w:t>;</w:t>
      </w:r>
      <w:r w:rsidRPr="00B11906">
        <w:rPr>
          <w:rFonts w:cs="Times New Roman"/>
        </w:rPr>
        <w:t xml:space="preserve"> </w:t>
      </w:r>
    </w:p>
    <w:p w14:paraId="6F8C3879" w14:textId="16A87A41" w:rsidR="0097707A" w:rsidRDefault="0097707A" w:rsidP="00BE0F41">
      <w:pPr>
        <w:pStyle w:val="ListParagraph"/>
        <w:numPr>
          <w:ilvl w:val="0"/>
          <w:numId w:val="10"/>
        </w:numPr>
        <w:jc w:val="both"/>
        <w:rPr>
          <w:rFonts w:cs="Times New Roman"/>
        </w:rPr>
      </w:pPr>
      <w:r>
        <w:rPr>
          <w:rFonts w:cs="Times New Roman"/>
        </w:rPr>
        <w:t xml:space="preserve">Minimum </w:t>
      </w:r>
      <w:r w:rsidRPr="00966F2C">
        <w:rPr>
          <w:rFonts w:cs="Times New Roman"/>
        </w:rPr>
        <w:t xml:space="preserve">of </w:t>
      </w:r>
      <w:r w:rsidR="00966F2C" w:rsidRPr="00966F2C">
        <w:rPr>
          <w:rFonts w:cs="Times New Roman"/>
        </w:rPr>
        <w:t>5</w:t>
      </w:r>
      <w:r w:rsidRPr="00966F2C">
        <w:rPr>
          <w:rFonts w:cs="Times New Roman"/>
        </w:rPr>
        <w:t xml:space="preserve"> years</w:t>
      </w:r>
      <w:r>
        <w:rPr>
          <w:rFonts w:cs="Times New Roman"/>
        </w:rPr>
        <w:t xml:space="preserve"> of academic research experience in the areas of interest (social protection, social policy, </w:t>
      </w:r>
      <w:r w:rsidR="00D22358">
        <w:rPr>
          <w:rFonts w:cs="Times New Roman"/>
        </w:rPr>
        <w:t>international development</w:t>
      </w:r>
      <w:r>
        <w:rPr>
          <w:rFonts w:cs="Times New Roman"/>
        </w:rPr>
        <w:t xml:space="preserve"> or related fields)</w:t>
      </w:r>
    </w:p>
    <w:p w14:paraId="715F6AA6" w14:textId="5866C0EA" w:rsidR="00E81589" w:rsidRDefault="00E81589" w:rsidP="00BE0F41">
      <w:pPr>
        <w:pStyle w:val="ListParagraph"/>
        <w:numPr>
          <w:ilvl w:val="0"/>
          <w:numId w:val="10"/>
        </w:numPr>
        <w:jc w:val="both"/>
        <w:rPr>
          <w:rFonts w:cs="Times New Roman"/>
        </w:rPr>
      </w:pPr>
      <w:r>
        <w:rPr>
          <w:rFonts w:cs="Times New Roman"/>
        </w:rPr>
        <w:t xml:space="preserve">A track record of high quality publications in top rated journals in the areas of social protection, </w:t>
      </w:r>
      <w:r w:rsidR="00D22358">
        <w:rPr>
          <w:rFonts w:cs="Times New Roman"/>
        </w:rPr>
        <w:t xml:space="preserve">international </w:t>
      </w:r>
      <w:r>
        <w:rPr>
          <w:rFonts w:cs="Times New Roman"/>
        </w:rPr>
        <w:t>development or related fields</w:t>
      </w:r>
      <w:r w:rsidR="00966F2C">
        <w:rPr>
          <w:rFonts w:cs="Times New Roman"/>
        </w:rPr>
        <w:t>;</w:t>
      </w:r>
    </w:p>
    <w:p w14:paraId="748B4355" w14:textId="77777777" w:rsidR="0097707A" w:rsidRDefault="0097707A" w:rsidP="00BE0F41">
      <w:pPr>
        <w:pStyle w:val="ListParagraph"/>
        <w:numPr>
          <w:ilvl w:val="0"/>
          <w:numId w:val="10"/>
        </w:numPr>
        <w:rPr>
          <w:rFonts w:cs="Times New Roman"/>
        </w:rPr>
      </w:pPr>
      <w:r w:rsidRPr="0097707A">
        <w:rPr>
          <w:rFonts w:cs="Times New Roman"/>
        </w:rPr>
        <w:t>Excellent written and oral English communications skills;</w:t>
      </w:r>
    </w:p>
    <w:p w14:paraId="1DA31CC6" w14:textId="77777777" w:rsidR="0097707A" w:rsidRPr="0097707A" w:rsidRDefault="0097707A" w:rsidP="00BE0F41">
      <w:pPr>
        <w:pStyle w:val="ListParagraph"/>
        <w:numPr>
          <w:ilvl w:val="0"/>
          <w:numId w:val="10"/>
        </w:numPr>
        <w:rPr>
          <w:rFonts w:cs="Times New Roman"/>
        </w:rPr>
      </w:pPr>
      <w:r w:rsidRPr="0097707A">
        <w:rPr>
          <w:rFonts w:cs="Times New Roman"/>
        </w:rPr>
        <w:t xml:space="preserve">Demonstrable interpersonal skills and strong ability to </w:t>
      </w:r>
      <w:r>
        <w:rPr>
          <w:rFonts w:cs="Times New Roman"/>
        </w:rPr>
        <w:t>collaborate with other researchers</w:t>
      </w:r>
      <w:r w:rsidRPr="0097707A">
        <w:rPr>
          <w:rFonts w:cs="Times New Roman"/>
        </w:rPr>
        <w:t>;</w:t>
      </w:r>
    </w:p>
    <w:p w14:paraId="1593AC60" w14:textId="7903BEC6" w:rsidR="0097707A" w:rsidRDefault="00D22358" w:rsidP="00BE0F41">
      <w:pPr>
        <w:pStyle w:val="ListParagraph"/>
        <w:numPr>
          <w:ilvl w:val="0"/>
          <w:numId w:val="10"/>
        </w:numPr>
        <w:jc w:val="both"/>
        <w:rPr>
          <w:rFonts w:cs="Times New Roman"/>
        </w:rPr>
      </w:pPr>
      <w:r>
        <w:rPr>
          <w:rFonts w:cs="Times New Roman"/>
        </w:rPr>
        <w:t>Fully computer literate</w:t>
      </w:r>
      <w:r w:rsidR="00966F2C">
        <w:rPr>
          <w:rFonts w:cs="Times New Roman"/>
        </w:rPr>
        <w:t>;</w:t>
      </w:r>
    </w:p>
    <w:p w14:paraId="5D48AD8C" w14:textId="77777777" w:rsidR="00E73575" w:rsidRPr="00E73575" w:rsidRDefault="00E73575" w:rsidP="00BE0F41">
      <w:pPr>
        <w:spacing w:after="0"/>
        <w:jc w:val="both"/>
        <w:rPr>
          <w:rFonts w:cs="Times New Roman"/>
        </w:rPr>
      </w:pPr>
    </w:p>
    <w:p w14:paraId="4836C96C" w14:textId="77777777" w:rsidR="00E73575" w:rsidRPr="00E73575" w:rsidRDefault="00E73575" w:rsidP="00BE0F41">
      <w:pPr>
        <w:pStyle w:val="ListParagraph"/>
        <w:numPr>
          <w:ilvl w:val="0"/>
          <w:numId w:val="1"/>
        </w:numPr>
        <w:jc w:val="both"/>
        <w:rPr>
          <w:rFonts w:cs="Times New Roman"/>
          <w:b/>
        </w:rPr>
      </w:pPr>
      <w:r w:rsidRPr="00E73575">
        <w:rPr>
          <w:rFonts w:cs="Times New Roman"/>
          <w:b/>
        </w:rPr>
        <w:t>Duration of the consultancy</w:t>
      </w:r>
    </w:p>
    <w:p w14:paraId="78DA0DD8" w14:textId="4A14E1C9" w:rsidR="00E73575" w:rsidRPr="00E73575" w:rsidRDefault="00965AEF" w:rsidP="00BE0F41">
      <w:pPr>
        <w:jc w:val="both"/>
        <w:rPr>
          <w:rFonts w:cs="Times New Roman"/>
        </w:rPr>
      </w:pPr>
      <w:r>
        <w:rPr>
          <w:rFonts w:cs="Times New Roman"/>
        </w:rPr>
        <w:t>7</w:t>
      </w:r>
      <w:r w:rsidR="00E73575" w:rsidRPr="00966F2C">
        <w:rPr>
          <w:rFonts w:cs="Times New Roman"/>
        </w:rPr>
        <w:t xml:space="preserve"> </w:t>
      </w:r>
      <w:r>
        <w:rPr>
          <w:rFonts w:cs="Times New Roman"/>
        </w:rPr>
        <w:t>Decem</w:t>
      </w:r>
      <w:r w:rsidR="00966F2C" w:rsidRPr="00966F2C">
        <w:rPr>
          <w:rFonts w:cs="Times New Roman"/>
        </w:rPr>
        <w:t>ber</w:t>
      </w:r>
      <w:r w:rsidR="00045F75" w:rsidRPr="00966F2C">
        <w:rPr>
          <w:rFonts w:cs="Times New Roman"/>
        </w:rPr>
        <w:t xml:space="preserve"> </w:t>
      </w:r>
      <w:r w:rsidR="00931223" w:rsidRPr="00966F2C">
        <w:rPr>
          <w:rFonts w:cs="Times New Roman"/>
        </w:rPr>
        <w:t>– 1</w:t>
      </w:r>
      <w:r w:rsidR="00966F2C" w:rsidRPr="00966F2C">
        <w:rPr>
          <w:rFonts w:cs="Times New Roman"/>
        </w:rPr>
        <w:t>5 April</w:t>
      </w:r>
      <w:r w:rsidR="00931223" w:rsidRPr="00966F2C">
        <w:rPr>
          <w:rFonts w:cs="Times New Roman"/>
        </w:rPr>
        <w:t xml:space="preserve"> </w:t>
      </w:r>
      <w:r w:rsidR="00E73575" w:rsidRPr="00966F2C">
        <w:rPr>
          <w:rFonts w:cs="Times New Roman"/>
        </w:rPr>
        <w:t>201</w:t>
      </w:r>
      <w:r w:rsidR="00966F2C" w:rsidRPr="00966F2C">
        <w:rPr>
          <w:rFonts w:cs="Times New Roman"/>
        </w:rPr>
        <w:t>6</w:t>
      </w:r>
      <w:r w:rsidR="00E73575" w:rsidRPr="00966F2C">
        <w:rPr>
          <w:rFonts w:cs="Times New Roman"/>
        </w:rPr>
        <w:t>.</w:t>
      </w:r>
      <w:r w:rsidR="00931223">
        <w:rPr>
          <w:rFonts w:cs="Times New Roman"/>
        </w:rPr>
        <w:t xml:space="preserve"> Dates can be refined in consultation with the selected candidate.</w:t>
      </w:r>
    </w:p>
    <w:p w14:paraId="605220F6" w14:textId="77777777" w:rsidR="00E73575" w:rsidRPr="00E73575" w:rsidRDefault="00E73575" w:rsidP="00BE0F41">
      <w:pPr>
        <w:pStyle w:val="ListParagraph"/>
        <w:numPr>
          <w:ilvl w:val="0"/>
          <w:numId w:val="1"/>
        </w:numPr>
        <w:jc w:val="both"/>
        <w:rPr>
          <w:rFonts w:cs="Times New Roman"/>
          <w:b/>
        </w:rPr>
      </w:pPr>
      <w:r w:rsidRPr="00E73575">
        <w:rPr>
          <w:rFonts w:cs="Times New Roman"/>
          <w:b/>
        </w:rPr>
        <w:t>Supervision and work arrangements</w:t>
      </w:r>
    </w:p>
    <w:p w14:paraId="49C76332" w14:textId="77777777" w:rsidR="00E73575" w:rsidRPr="00E73575" w:rsidRDefault="00E73575" w:rsidP="00BE0F41">
      <w:pPr>
        <w:jc w:val="both"/>
        <w:rPr>
          <w:rFonts w:cs="Times New Roman"/>
        </w:rPr>
      </w:pPr>
      <w:r>
        <w:rPr>
          <w:rFonts w:cs="Times New Roman"/>
        </w:rPr>
        <w:t>The s</w:t>
      </w:r>
      <w:r w:rsidRPr="00E73575">
        <w:rPr>
          <w:rFonts w:cs="Times New Roman"/>
        </w:rPr>
        <w:t xml:space="preserve">upervisor of the assignment is </w:t>
      </w:r>
      <w:r>
        <w:rPr>
          <w:rFonts w:cs="Times New Roman"/>
        </w:rPr>
        <w:t>Sudhanshu Handa</w:t>
      </w:r>
      <w:r w:rsidRPr="00E73575">
        <w:rPr>
          <w:rFonts w:cs="Times New Roman"/>
        </w:rPr>
        <w:t xml:space="preserve">, </w:t>
      </w:r>
      <w:r>
        <w:rPr>
          <w:rFonts w:cs="Times New Roman"/>
        </w:rPr>
        <w:t>Chief of Social and Economic Policy</w:t>
      </w:r>
      <w:r w:rsidRPr="00E73575">
        <w:rPr>
          <w:rFonts w:cs="Times New Roman"/>
        </w:rPr>
        <w:t>, UNICEF Office of Research</w:t>
      </w:r>
      <w:r>
        <w:rPr>
          <w:rFonts w:cs="Times New Roman"/>
        </w:rPr>
        <w:t xml:space="preserve"> – Innocenti</w:t>
      </w:r>
      <w:r w:rsidRPr="00E73575">
        <w:rPr>
          <w:rFonts w:cs="Times New Roman"/>
        </w:rPr>
        <w:t>.</w:t>
      </w:r>
    </w:p>
    <w:p w14:paraId="16CBEDAE" w14:textId="1C437FBE" w:rsidR="005A444E" w:rsidRDefault="00E73575" w:rsidP="005928E8">
      <w:pPr>
        <w:jc w:val="both"/>
        <w:rPr>
          <w:rFonts w:cs="Times New Roman"/>
        </w:rPr>
      </w:pPr>
      <w:r w:rsidRPr="00E73575">
        <w:rPr>
          <w:rFonts w:cs="Times New Roman"/>
        </w:rPr>
        <w:t xml:space="preserve">The </w:t>
      </w:r>
      <w:r>
        <w:rPr>
          <w:rFonts w:cs="Times New Roman"/>
        </w:rPr>
        <w:t>researcher</w:t>
      </w:r>
      <w:r w:rsidRPr="00E73575">
        <w:rPr>
          <w:rFonts w:cs="Times New Roman"/>
        </w:rPr>
        <w:t xml:space="preserve"> will work at his/her home base, in regular electronic and te</w:t>
      </w:r>
      <w:r>
        <w:rPr>
          <w:rFonts w:cs="Times New Roman"/>
        </w:rPr>
        <w:t>lephone consultations with the s</w:t>
      </w:r>
      <w:r w:rsidRPr="00E73575">
        <w:rPr>
          <w:rFonts w:cs="Times New Roman"/>
        </w:rPr>
        <w:t xml:space="preserve">upervisor, relevant Office of Research staff, </w:t>
      </w:r>
      <w:r>
        <w:rPr>
          <w:rFonts w:cs="Times New Roman"/>
        </w:rPr>
        <w:t>UNICEF Ghana and the Ghanaian researcher.</w:t>
      </w:r>
      <w:r w:rsidR="00045F75">
        <w:rPr>
          <w:rFonts w:cs="Times New Roman"/>
        </w:rPr>
        <w:t xml:space="preserve"> </w:t>
      </w:r>
      <w:r w:rsidR="00045F75" w:rsidRPr="00045F75">
        <w:rPr>
          <w:rFonts w:cs="Times New Roman"/>
        </w:rPr>
        <w:t xml:space="preserve">All submissions will be made electronically unless other means are needed (e.g. voluminous documents, technical problems). Communication with the Office of Research – Innocenti is to take place over email, the phone or Skype. The selected researcher is expected to make one 2-day visit to UNICEF </w:t>
      </w:r>
      <w:proofErr w:type="spellStart"/>
      <w:r w:rsidR="00045F75" w:rsidRPr="00045F75">
        <w:rPr>
          <w:rFonts w:cs="Times New Roman"/>
        </w:rPr>
        <w:t>OoR</w:t>
      </w:r>
      <w:proofErr w:type="spellEnd"/>
      <w:r w:rsidR="00045F75" w:rsidRPr="00045F75">
        <w:rPr>
          <w:rFonts w:cs="Times New Roman"/>
        </w:rPr>
        <w:t xml:space="preserve"> under this contract to present the findings from the study.</w:t>
      </w:r>
    </w:p>
    <w:p w14:paraId="00AD314B" w14:textId="77777777" w:rsidR="00A30EA4" w:rsidRPr="00484494" w:rsidRDefault="00A30EA4" w:rsidP="00A30EA4">
      <w:pPr>
        <w:rPr>
          <w:rFonts w:cs="Tahoma"/>
          <w:color w:val="000000"/>
        </w:rPr>
      </w:pPr>
      <w:r w:rsidRPr="00484494">
        <w:rPr>
          <w:rFonts w:cs="Tahoma"/>
          <w:color w:val="000000"/>
        </w:rPr>
        <w:t xml:space="preserve">For official travel, costs will have to be within UNICEF standard rates for travel and DSA. </w:t>
      </w:r>
    </w:p>
    <w:p w14:paraId="0F48C179" w14:textId="77777777" w:rsidR="00A30EA4" w:rsidRPr="00484494" w:rsidRDefault="00A30EA4" w:rsidP="00A30EA4">
      <w:pPr>
        <w:rPr>
          <w:rFonts w:cs="Tahoma"/>
          <w:color w:val="000000"/>
        </w:rPr>
      </w:pPr>
      <w:r w:rsidRPr="00484494">
        <w:rPr>
          <w:rFonts w:cs="Tahoma"/>
          <w:color w:val="000000"/>
        </w:rPr>
        <w:t>Travel cost shall be calculated based on economy class travel, regardless of the length of travel.</w:t>
      </w:r>
    </w:p>
    <w:p w14:paraId="7532ED69" w14:textId="77777777" w:rsidR="00A30EA4" w:rsidRPr="00484494" w:rsidRDefault="00A30EA4" w:rsidP="00A30EA4">
      <w:pPr>
        <w:rPr>
          <w:rFonts w:cs="Tahoma"/>
          <w:color w:val="000000"/>
        </w:rPr>
      </w:pPr>
      <w:r w:rsidRPr="00484494">
        <w:rPr>
          <w:rFonts w:cs="Tahoma"/>
          <w:color w:val="000000"/>
        </w:rPr>
        <w:t>Costs for accommodation, meals and incidentals shall not exceed applicable Daily subsistence allowance rates.</w:t>
      </w:r>
    </w:p>
    <w:p w14:paraId="7CCF79C3" w14:textId="77777777" w:rsidR="00A30EA4" w:rsidRPr="000D0B2F" w:rsidRDefault="00A30EA4" w:rsidP="00A30EA4">
      <w:pPr>
        <w:pStyle w:val="ListParagraph"/>
        <w:numPr>
          <w:ilvl w:val="0"/>
          <w:numId w:val="1"/>
        </w:numPr>
        <w:jc w:val="both"/>
        <w:rPr>
          <w:rFonts w:cs="Times New Roman"/>
          <w:b/>
          <w:bCs/>
        </w:rPr>
      </w:pPr>
      <w:r w:rsidRPr="000D0B2F">
        <w:rPr>
          <w:rFonts w:cs="Times New Roman"/>
          <w:b/>
          <w:bCs/>
        </w:rPr>
        <w:t>Special instructions</w:t>
      </w:r>
    </w:p>
    <w:p w14:paraId="3E7F3396" w14:textId="5BA209C1" w:rsidR="00A30EA4" w:rsidRPr="000D0B2F" w:rsidRDefault="00A30EA4" w:rsidP="00A30EA4">
      <w:pPr>
        <w:jc w:val="both"/>
        <w:rPr>
          <w:rFonts w:cs="Times New Roman"/>
        </w:rPr>
      </w:pPr>
      <w:r w:rsidRPr="000D0B2F">
        <w:rPr>
          <w:rFonts w:cs="Times New Roman"/>
        </w:rPr>
        <w:t xml:space="preserve">Supervision and work arrangements have been addressed in section 7 above. Travel and other additional costs are also addressed above, section </w:t>
      </w:r>
      <w:r w:rsidR="009A1E08">
        <w:rPr>
          <w:rFonts w:cs="Times New Roman"/>
        </w:rPr>
        <w:t>7</w:t>
      </w:r>
      <w:bookmarkStart w:id="0" w:name="_GoBack"/>
      <w:bookmarkEnd w:id="0"/>
      <w:r w:rsidRPr="000D0B2F">
        <w:rPr>
          <w:rFonts w:cs="Times New Roman"/>
        </w:rPr>
        <w:t xml:space="preserve">. </w:t>
      </w:r>
    </w:p>
    <w:p w14:paraId="30EAE42D" w14:textId="77777777" w:rsidR="00A30EA4" w:rsidRDefault="00A30EA4" w:rsidP="00A30EA4">
      <w:pPr>
        <w:jc w:val="both"/>
        <w:rPr>
          <w:rFonts w:cs="Times New Roman"/>
        </w:rPr>
      </w:pPr>
      <w:r w:rsidRPr="000D0B2F">
        <w:rPr>
          <w:rFonts w:cs="Times New Roman"/>
        </w:rPr>
        <w:t xml:space="preserve">The contractor is to deliver all deliverables electronically, via email to </w:t>
      </w:r>
      <w:r>
        <w:rPr>
          <w:rFonts w:cs="Times New Roman"/>
        </w:rPr>
        <w:t xml:space="preserve">Sudhanshu Handa at </w:t>
      </w:r>
      <w:hyperlink r:id="rId8" w:history="1">
        <w:r w:rsidRPr="0033042C">
          <w:rPr>
            <w:rStyle w:val="Hyperlink"/>
            <w:rFonts w:cs="Times New Roman"/>
          </w:rPr>
          <w:t>shanda@unicef.org</w:t>
        </w:r>
      </w:hyperlink>
      <w:r w:rsidRPr="000D0B2F">
        <w:rPr>
          <w:rFonts w:cs="Times New Roman"/>
        </w:rPr>
        <w:t>. The contractor is to participate in teleconferences as necessary.  No budget will be allocated to the contractor for telephone calls or internet usage. However, the Office of Research – Innocenti will initiate telephone calls and teleconferences whenever possible.</w:t>
      </w:r>
    </w:p>
    <w:p w14:paraId="2CA5A41C" w14:textId="77777777" w:rsidR="007C73DC" w:rsidRPr="00373838" w:rsidRDefault="007C73DC" w:rsidP="00A30EA4">
      <w:pPr>
        <w:jc w:val="both"/>
        <w:rPr>
          <w:rFonts w:cs="Times New Roman"/>
        </w:rPr>
      </w:pPr>
    </w:p>
    <w:sectPr w:rsidR="007C73DC" w:rsidRPr="0037383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677D2" w14:textId="77777777" w:rsidR="000448D0" w:rsidRDefault="000448D0" w:rsidP="00337198">
      <w:pPr>
        <w:spacing w:after="0" w:line="240" w:lineRule="auto"/>
      </w:pPr>
      <w:r>
        <w:separator/>
      </w:r>
    </w:p>
  </w:endnote>
  <w:endnote w:type="continuationSeparator" w:id="0">
    <w:p w14:paraId="0AEE76EB" w14:textId="77777777" w:rsidR="000448D0" w:rsidRDefault="000448D0" w:rsidP="00337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09015" w14:textId="77777777" w:rsidR="000448D0" w:rsidRDefault="000448D0" w:rsidP="00337198">
      <w:pPr>
        <w:spacing w:after="0" w:line="240" w:lineRule="auto"/>
      </w:pPr>
      <w:r>
        <w:separator/>
      </w:r>
    </w:p>
  </w:footnote>
  <w:footnote w:type="continuationSeparator" w:id="0">
    <w:p w14:paraId="46089E36" w14:textId="77777777" w:rsidR="000448D0" w:rsidRDefault="000448D0" w:rsidP="00337198">
      <w:pPr>
        <w:spacing w:after="0" w:line="240" w:lineRule="auto"/>
      </w:pPr>
      <w:r>
        <w:continuationSeparator/>
      </w:r>
    </w:p>
  </w:footnote>
  <w:footnote w:id="1">
    <w:p w14:paraId="449EE319" w14:textId="77777777" w:rsidR="00B24B0E" w:rsidRDefault="00B24B0E" w:rsidP="00337198">
      <w:pPr>
        <w:pStyle w:val="FootnoteText"/>
      </w:pPr>
      <w:r>
        <w:rPr>
          <w:rStyle w:val="FootnoteReference"/>
        </w:rPr>
        <w:footnoteRef/>
      </w:r>
      <w:r>
        <w:t xml:space="preserve"> See ILO 2013, </w:t>
      </w:r>
      <w:r w:rsidRPr="00894ECA">
        <w:t>Rationalizing Social Protection Expenditures in Ghana.</w:t>
      </w:r>
    </w:p>
  </w:footnote>
  <w:footnote w:id="2">
    <w:p w14:paraId="7232C180" w14:textId="77777777" w:rsidR="00EE3D0B" w:rsidRDefault="00EE3D0B">
      <w:pPr>
        <w:pStyle w:val="FootnoteText"/>
      </w:pPr>
      <w:r>
        <w:rPr>
          <w:rStyle w:val="FootnoteReference"/>
        </w:rPr>
        <w:footnoteRef/>
      </w:r>
      <w:r>
        <w:t xml:space="preserve"> FAO - IDS(2015) Strengthening Coherence Between Agriculture and Social Protection to Combat Poverty and Hunger in Africa: Framework for Analysis and Action; Yet to be released;</w:t>
      </w:r>
    </w:p>
  </w:footnote>
  <w:footnote w:id="3">
    <w:p w14:paraId="20362E68" w14:textId="77777777" w:rsidR="00DB1E09" w:rsidRDefault="00DB1E09">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1F75"/>
    <w:multiLevelType w:val="hybridMultilevel"/>
    <w:tmpl w:val="0492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767CE"/>
    <w:multiLevelType w:val="hybridMultilevel"/>
    <w:tmpl w:val="657E088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C14F7"/>
    <w:multiLevelType w:val="hybridMultilevel"/>
    <w:tmpl w:val="AA9A4E8E"/>
    <w:lvl w:ilvl="0" w:tplc="F2821C4A">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1853A8"/>
    <w:multiLevelType w:val="hybridMultilevel"/>
    <w:tmpl w:val="2E88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52D75"/>
    <w:multiLevelType w:val="hybridMultilevel"/>
    <w:tmpl w:val="5226CD3E"/>
    <w:lvl w:ilvl="0" w:tplc="DEB2DB6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D7F43"/>
    <w:multiLevelType w:val="hybridMultilevel"/>
    <w:tmpl w:val="F2E4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771816"/>
    <w:multiLevelType w:val="hybridMultilevel"/>
    <w:tmpl w:val="8904D928"/>
    <w:lvl w:ilvl="0" w:tplc="6A6AEB5A">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E38F8"/>
    <w:multiLevelType w:val="hybridMultilevel"/>
    <w:tmpl w:val="62C2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A44A6"/>
    <w:multiLevelType w:val="hybridMultilevel"/>
    <w:tmpl w:val="9942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94445"/>
    <w:multiLevelType w:val="hybridMultilevel"/>
    <w:tmpl w:val="7612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D5B01"/>
    <w:multiLevelType w:val="hybridMultilevel"/>
    <w:tmpl w:val="1F38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230A5A"/>
    <w:multiLevelType w:val="hybridMultilevel"/>
    <w:tmpl w:val="BEAA0338"/>
    <w:lvl w:ilvl="0" w:tplc="DEB2DB6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83F14"/>
    <w:multiLevelType w:val="hybridMultilevel"/>
    <w:tmpl w:val="4FC0D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9B71FC"/>
    <w:multiLevelType w:val="hybridMultilevel"/>
    <w:tmpl w:val="56E4BC50"/>
    <w:lvl w:ilvl="0" w:tplc="F2821C4A">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2B7B8C"/>
    <w:multiLevelType w:val="hybridMultilevel"/>
    <w:tmpl w:val="1B94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143F39"/>
    <w:multiLevelType w:val="hybridMultilevel"/>
    <w:tmpl w:val="E542C108"/>
    <w:lvl w:ilvl="0" w:tplc="4BEE8296">
      <w:start w:val="1"/>
      <w:numFmt w:val="decimal"/>
      <w:lvlText w:val="%1."/>
      <w:lvlJc w:val="left"/>
      <w:pPr>
        <w:tabs>
          <w:tab w:val="num" w:pos="567"/>
        </w:tabs>
        <w:ind w:left="454" w:hanging="454"/>
      </w:pPr>
      <w:rPr>
        <w:rFonts w:asciiTheme="minorHAnsi" w:eastAsia="Times New Roman" w:hAnsiTheme="minorHAnsi" w:cs="Times New Roman" w:hint="default"/>
        <w:b/>
      </w:rPr>
    </w:lvl>
    <w:lvl w:ilvl="1" w:tplc="04090001">
      <w:start w:val="1"/>
      <w:numFmt w:val="bullet"/>
      <w:lvlText w:val=""/>
      <w:lvlJc w:val="left"/>
      <w:pPr>
        <w:tabs>
          <w:tab w:val="num" w:pos="900"/>
        </w:tabs>
        <w:ind w:left="900" w:hanging="360"/>
      </w:pPr>
      <w:rPr>
        <w:rFonts w:ascii="Symbol" w:hAnsi="Symbol" w:hint="default"/>
      </w:rPr>
    </w:lvl>
    <w:lvl w:ilvl="2" w:tplc="D2FEF330">
      <w:start w:val="1"/>
      <w:numFmt w:val="lowerRoman"/>
      <w:lvlText w:val="(%3)"/>
      <w:lvlJc w:val="left"/>
      <w:pPr>
        <w:tabs>
          <w:tab w:val="num" w:pos="2160"/>
        </w:tabs>
        <w:ind w:left="2160" w:hanging="720"/>
      </w:pPr>
      <w:rPr>
        <w:rFonts w:hint="default"/>
      </w:rPr>
    </w:lvl>
    <w:lvl w:ilvl="3" w:tplc="06DA2538">
      <w:start w:val="1"/>
      <w:numFmt w:val="upperLetter"/>
      <w:lvlText w:val="(%4)"/>
      <w:lvlJc w:val="left"/>
      <w:pPr>
        <w:tabs>
          <w:tab w:val="num" w:pos="2520"/>
        </w:tabs>
        <w:ind w:left="2520" w:hanging="360"/>
      </w:pPr>
      <w:rPr>
        <w:rFonts w:hint="default"/>
      </w:rPr>
    </w:lvl>
    <w:lvl w:ilvl="4" w:tplc="473C34BC">
      <w:start w:val="2"/>
      <w:numFmt w:val="lowerLetter"/>
      <w:lvlText w:val="(%5)"/>
      <w:lvlJc w:val="left"/>
      <w:pPr>
        <w:tabs>
          <w:tab w:val="num" w:pos="3240"/>
        </w:tabs>
        <w:ind w:left="3240" w:hanging="360"/>
      </w:pPr>
      <w:rPr>
        <w:rFont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A9E45DC"/>
    <w:multiLevelType w:val="hybridMultilevel"/>
    <w:tmpl w:val="914E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3"/>
  </w:num>
  <w:num w:numId="4">
    <w:abstractNumId w:val="12"/>
  </w:num>
  <w:num w:numId="5">
    <w:abstractNumId w:val="4"/>
  </w:num>
  <w:num w:numId="6">
    <w:abstractNumId w:val="11"/>
  </w:num>
  <w:num w:numId="7">
    <w:abstractNumId w:val="5"/>
  </w:num>
  <w:num w:numId="8">
    <w:abstractNumId w:val="3"/>
  </w:num>
  <w:num w:numId="9">
    <w:abstractNumId w:val="0"/>
  </w:num>
  <w:num w:numId="10">
    <w:abstractNumId w:val="7"/>
  </w:num>
  <w:num w:numId="11">
    <w:abstractNumId w:val="10"/>
  </w:num>
  <w:num w:numId="12">
    <w:abstractNumId w:val="9"/>
  </w:num>
  <w:num w:numId="13">
    <w:abstractNumId w:val="8"/>
  </w:num>
  <w:num w:numId="14">
    <w:abstractNumId w:val="14"/>
  </w:num>
  <w:num w:numId="15">
    <w:abstractNumId w:val="1"/>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D6"/>
    <w:rsid w:val="0000451C"/>
    <w:rsid w:val="00030F5C"/>
    <w:rsid w:val="000321C7"/>
    <w:rsid w:val="00042669"/>
    <w:rsid w:val="000448D0"/>
    <w:rsid w:val="00045F75"/>
    <w:rsid w:val="0005568F"/>
    <w:rsid w:val="00067E78"/>
    <w:rsid w:val="00084C74"/>
    <w:rsid w:val="00093BA7"/>
    <w:rsid w:val="000A383D"/>
    <w:rsid w:val="000A774C"/>
    <w:rsid w:val="000C01D4"/>
    <w:rsid w:val="000F12EA"/>
    <w:rsid w:val="0010651D"/>
    <w:rsid w:val="00126E58"/>
    <w:rsid w:val="00132ABE"/>
    <w:rsid w:val="0013417D"/>
    <w:rsid w:val="00186BF1"/>
    <w:rsid w:val="0019091F"/>
    <w:rsid w:val="001A31B5"/>
    <w:rsid w:val="001B6396"/>
    <w:rsid w:val="001C5106"/>
    <w:rsid w:val="001C652B"/>
    <w:rsid w:val="001C6692"/>
    <w:rsid w:val="001C75D6"/>
    <w:rsid w:val="001E2F14"/>
    <w:rsid w:val="001E7CEA"/>
    <w:rsid w:val="00206004"/>
    <w:rsid w:val="00207CE3"/>
    <w:rsid w:val="00230CA1"/>
    <w:rsid w:val="002345B9"/>
    <w:rsid w:val="00254507"/>
    <w:rsid w:val="00254B5B"/>
    <w:rsid w:val="002668C2"/>
    <w:rsid w:val="002D0739"/>
    <w:rsid w:val="002D664F"/>
    <w:rsid w:val="002E6594"/>
    <w:rsid w:val="002E7298"/>
    <w:rsid w:val="00337198"/>
    <w:rsid w:val="00385E4E"/>
    <w:rsid w:val="0039243B"/>
    <w:rsid w:val="003A4630"/>
    <w:rsid w:val="003B061B"/>
    <w:rsid w:val="003D07D7"/>
    <w:rsid w:val="003D1EB9"/>
    <w:rsid w:val="003D2D04"/>
    <w:rsid w:val="003D38CF"/>
    <w:rsid w:val="003E28BC"/>
    <w:rsid w:val="003E5B77"/>
    <w:rsid w:val="004031DA"/>
    <w:rsid w:val="00435B26"/>
    <w:rsid w:val="00456F5F"/>
    <w:rsid w:val="004634A2"/>
    <w:rsid w:val="0047221F"/>
    <w:rsid w:val="00481A06"/>
    <w:rsid w:val="00485077"/>
    <w:rsid w:val="004A2664"/>
    <w:rsid w:val="004B0494"/>
    <w:rsid w:val="004B0699"/>
    <w:rsid w:val="004B4E1A"/>
    <w:rsid w:val="004C0BFB"/>
    <w:rsid w:val="004C2237"/>
    <w:rsid w:val="004D5AEE"/>
    <w:rsid w:val="004F038F"/>
    <w:rsid w:val="00512C34"/>
    <w:rsid w:val="00546EE1"/>
    <w:rsid w:val="00556698"/>
    <w:rsid w:val="00566267"/>
    <w:rsid w:val="00582F62"/>
    <w:rsid w:val="005928E8"/>
    <w:rsid w:val="005A444E"/>
    <w:rsid w:val="005B13F6"/>
    <w:rsid w:val="005D5705"/>
    <w:rsid w:val="005E327B"/>
    <w:rsid w:val="005F7E07"/>
    <w:rsid w:val="006164B2"/>
    <w:rsid w:val="0063651B"/>
    <w:rsid w:val="006436BC"/>
    <w:rsid w:val="00663F56"/>
    <w:rsid w:val="006718AE"/>
    <w:rsid w:val="00687F32"/>
    <w:rsid w:val="006B1DD8"/>
    <w:rsid w:val="006B293E"/>
    <w:rsid w:val="006E3BE0"/>
    <w:rsid w:val="006E5BBA"/>
    <w:rsid w:val="006F1ADE"/>
    <w:rsid w:val="00725C9C"/>
    <w:rsid w:val="00762652"/>
    <w:rsid w:val="00762B1F"/>
    <w:rsid w:val="00770D28"/>
    <w:rsid w:val="007855AC"/>
    <w:rsid w:val="00793385"/>
    <w:rsid w:val="007A6EE6"/>
    <w:rsid w:val="007B4D82"/>
    <w:rsid w:val="007C29C5"/>
    <w:rsid w:val="007C73DC"/>
    <w:rsid w:val="007D450D"/>
    <w:rsid w:val="007D5D0B"/>
    <w:rsid w:val="007D7175"/>
    <w:rsid w:val="007E0A8B"/>
    <w:rsid w:val="007E34A3"/>
    <w:rsid w:val="007E406C"/>
    <w:rsid w:val="007F26A6"/>
    <w:rsid w:val="008223D8"/>
    <w:rsid w:val="008357E8"/>
    <w:rsid w:val="0089077B"/>
    <w:rsid w:val="0089457B"/>
    <w:rsid w:val="00894ECA"/>
    <w:rsid w:val="008A0C9C"/>
    <w:rsid w:val="008A3A31"/>
    <w:rsid w:val="008B4B23"/>
    <w:rsid w:val="008B5834"/>
    <w:rsid w:val="008B5954"/>
    <w:rsid w:val="008B76DF"/>
    <w:rsid w:val="008C1456"/>
    <w:rsid w:val="008C28F7"/>
    <w:rsid w:val="008C64D6"/>
    <w:rsid w:val="008C7881"/>
    <w:rsid w:val="008F0C98"/>
    <w:rsid w:val="00931223"/>
    <w:rsid w:val="00941F87"/>
    <w:rsid w:val="00942F34"/>
    <w:rsid w:val="00956ECD"/>
    <w:rsid w:val="00964D57"/>
    <w:rsid w:val="00965AEF"/>
    <w:rsid w:val="00966F2C"/>
    <w:rsid w:val="00973855"/>
    <w:rsid w:val="0097707A"/>
    <w:rsid w:val="00977321"/>
    <w:rsid w:val="00977354"/>
    <w:rsid w:val="00981BD1"/>
    <w:rsid w:val="00991C69"/>
    <w:rsid w:val="00992533"/>
    <w:rsid w:val="009A1E08"/>
    <w:rsid w:val="009A6CD9"/>
    <w:rsid w:val="009A7B66"/>
    <w:rsid w:val="009B480F"/>
    <w:rsid w:val="009B4A60"/>
    <w:rsid w:val="009F1386"/>
    <w:rsid w:val="009F3370"/>
    <w:rsid w:val="009F7A6A"/>
    <w:rsid w:val="00A0565D"/>
    <w:rsid w:val="00A30EA4"/>
    <w:rsid w:val="00A34861"/>
    <w:rsid w:val="00A372E5"/>
    <w:rsid w:val="00A53AB3"/>
    <w:rsid w:val="00A54A27"/>
    <w:rsid w:val="00A7407D"/>
    <w:rsid w:val="00A83859"/>
    <w:rsid w:val="00A8621D"/>
    <w:rsid w:val="00AA20FF"/>
    <w:rsid w:val="00AA421C"/>
    <w:rsid w:val="00AA69A6"/>
    <w:rsid w:val="00AD0483"/>
    <w:rsid w:val="00AE5589"/>
    <w:rsid w:val="00AF16AD"/>
    <w:rsid w:val="00AF2245"/>
    <w:rsid w:val="00AF52A1"/>
    <w:rsid w:val="00B1068B"/>
    <w:rsid w:val="00B11906"/>
    <w:rsid w:val="00B24B0E"/>
    <w:rsid w:val="00B61B63"/>
    <w:rsid w:val="00B82F0B"/>
    <w:rsid w:val="00B861BB"/>
    <w:rsid w:val="00B964E0"/>
    <w:rsid w:val="00BE0F41"/>
    <w:rsid w:val="00BE384E"/>
    <w:rsid w:val="00BE7651"/>
    <w:rsid w:val="00C06121"/>
    <w:rsid w:val="00C773A3"/>
    <w:rsid w:val="00C84EE3"/>
    <w:rsid w:val="00CA0FF6"/>
    <w:rsid w:val="00CB45A7"/>
    <w:rsid w:val="00CB6E95"/>
    <w:rsid w:val="00CE5A72"/>
    <w:rsid w:val="00CE693A"/>
    <w:rsid w:val="00CF7A97"/>
    <w:rsid w:val="00D112CD"/>
    <w:rsid w:val="00D22358"/>
    <w:rsid w:val="00D64E22"/>
    <w:rsid w:val="00D83967"/>
    <w:rsid w:val="00D96498"/>
    <w:rsid w:val="00DA29C9"/>
    <w:rsid w:val="00DB1E09"/>
    <w:rsid w:val="00DE70F2"/>
    <w:rsid w:val="00DE7E06"/>
    <w:rsid w:val="00E125C3"/>
    <w:rsid w:val="00E23E92"/>
    <w:rsid w:val="00E40ECB"/>
    <w:rsid w:val="00E41185"/>
    <w:rsid w:val="00E42420"/>
    <w:rsid w:val="00E45FC3"/>
    <w:rsid w:val="00E56365"/>
    <w:rsid w:val="00E574D3"/>
    <w:rsid w:val="00E709A3"/>
    <w:rsid w:val="00E73575"/>
    <w:rsid w:val="00E81589"/>
    <w:rsid w:val="00E83F54"/>
    <w:rsid w:val="00E93412"/>
    <w:rsid w:val="00EB2572"/>
    <w:rsid w:val="00EC040A"/>
    <w:rsid w:val="00ED152F"/>
    <w:rsid w:val="00EE3D0B"/>
    <w:rsid w:val="00EF5A08"/>
    <w:rsid w:val="00F043F3"/>
    <w:rsid w:val="00F15D74"/>
    <w:rsid w:val="00F17287"/>
    <w:rsid w:val="00F303EB"/>
    <w:rsid w:val="00F34B2F"/>
    <w:rsid w:val="00F73DA6"/>
    <w:rsid w:val="00F817A7"/>
    <w:rsid w:val="00F91A0F"/>
    <w:rsid w:val="00FA3EE5"/>
    <w:rsid w:val="00FD24B3"/>
    <w:rsid w:val="00FE1F3B"/>
    <w:rsid w:val="00FE75A4"/>
    <w:rsid w:val="00FE7E42"/>
  </w:rsids>
  <m:mathPr>
    <m:mathFont m:val="Cambria Math"/>
    <m:brkBin m:val="before"/>
    <m:brkBinSub m:val="--"/>
    <m:smallFrac m:val="0"/>
    <m:dispDef/>
    <m:lMargin m:val="0"/>
    <m:rMargin m:val="0"/>
    <m:defJc m:val="centerGroup"/>
    <m:wrapIndent m:val="1440"/>
    <m:intLim m:val="subSup"/>
    <m:naryLim m:val="undOvr"/>
  </m:mathPr>
  <w:themeFontLang w:val="en-GB"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B441E5"/>
  <w15:docId w15:val="{7D72869F-4D7B-454B-91A7-21128638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64D6"/>
    <w:rPr>
      <w:color w:val="0563C1"/>
      <w:u w:val="single"/>
    </w:rPr>
  </w:style>
  <w:style w:type="paragraph" w:customStyle="1" w:styleId="Heading">
    <w:name w:val="Heading"/>
    <w:basedOn w:val="Normal"/>
    <w:rsid w:val="008C64D6"/>
    <w:pPr>
      <w:spacing w:after="60" w:line="240" w:lineRule="auto"/>
    </w:pPr>
    <w:rPr>
      <w:rFonts w:ascii="Calibri" w:eastAsia="Batang" w:hAnsi="Calibri" w:cs="Times New Roman"/>
      <w:b/>
      <w:sz w:val="24"/>
      <w:szCs w:val="20"/>
      <w:lang w:val="en-US" w:eastAsia="ko-KR"/>
    </w:rPr>
  </w:style>
  <w:style w:type="character" w:customStyle="1" w:styleId="Style">
    <w:name w:val="Style"/>
    <w:basedOn w:val="DefaultParagraphFont"/>
    <w:rsid w:val="00EC040A"/>
    <w:rPr>
      <w:rFonts w:ascii="Arial" w:hAnsi="Arial"/>
      <w:sz w:val="16"/>
    </w:rPr>
  </w:style>
  <w:style w:type="paragraph" w:styleId="ListParagraph">
    <w:name w:val="List Paragraph"/>
    <w:basedOn w:val="Normal"/>
    <w:uiPriority w:val="34"/>
    <w:qFormat/>
    <w:rsid w:val="0019091F"/>
    <w:pPr>
      <w:ind w:left="720"/>
      <w:contextualSpacing/>
    </w:pPr>
  </w:style>
  <w:style w:type="table" w:styleId="TableGrid">
    <w:name w:val="Table Grid"/>
    <w:basedOn w:val="TableNormal"/>
    <w:uiPriority w:val="59"/>
    <w:rsid w:val="00A54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04266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207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E3"/>
    <w:rPr>
      <w:rFonts w:ascii="Segoe UI" w:hAnsi="Segoe UI" w:cs="Segoe UI"/>
      <w:sz w:val="18"/>
      <w:szCs w:val="18"/>
    </w:rPr>
  </w:style>
  <w:style w:type="character" w:styleId="CommentReference">
    <w:name w:val="annotation reference"/>
    <w:basedOn w:val="DefaultParagraphFont"/>
    <w:uiPriority w:val="99"/>
    <w:semiHidden/>
    <w:unhideWhenUsed/>
    <w:rsid w:val="00DE7E06"/>
    <w:rPr>
      <w:sz w:val="16"/>
      <w:szCs w:val="16"/>
    </w:rPr>
  </w:style>
  <w:style w:type="paragraph" w:styleId="CommentText">
    <w:name w:val="annotation text"/>
    <w:basedOn w:val="Normal"/>
    <w:link w:val="CommentTextChar"/>
    <w:uiPriority w:val="99"/>
    <w:semiHidden/>
    <w:unhideWhenUsed/>
    <w:rsid w:val="00DE7E06"/>
    <w:pPr>
      <w:spacing w:line="240" w:lineRule="auto"/>
    </w:pPr>
    <w:rPr>
      <w:sz w:val="20"/>
      <w:szCs w:val="20"/>
    </w:rPr>
  </w:style>
  <w:style w:type="character" w:customStyle="1" w:styleId="CommentTextChar">
    <w:name w:val="Comment Text Char"/>
    <w:basedOn w:val="DefaultParagraphFont"/>
    <w:link w:val="CommentText"/>
    <w:uiPriority w:val="99"/>
    <w:semiHidden/>
    <w:rsid w:val="00DE7E06"/>
    <w:rPr>
      <w:sz w:val="20"/>
      <w:szCs w:val="20"/>
    </w:rPr>
  </w:style>
  <w:style w:type="paragraph" w:styleId="CommentSubject">
    <w:name w:val="annotation subject"/>
    <w:basedOn w:val="CommentText"/>
    <w:next w:val="CommentText"/>
    <w:link w:val="CommentSubjectChar"/>
    <w:uiPriority w:val="99"/>
    <w:semiHidden/>
    <w:unhideWhenUsed/>
    <w:rsid w:val="00DE7E06"/>
    <w:rPr>
      <w:b/>
      <w:bCs/>
    </w:rPr>
  </w:style>
  <w:style w:type="character" w:customStyle="1" w:styleId="CommentSubjectChar">
    <w:name w:val="Comment Subject Char"/>
    <w:basedOn w:val="CommentTextChar"/>
    <w:link w:val="CommentSubject"/>
    <w:uiPriority w:val="99"/>
    <w:semiHidden/>
    <w:rsid w:val="00DE7E06"/>
    <w:rPr>
      <w:b/>
      <w:bCs/>
      <w:sz w:val="20"/>
      <w:szCs w:val="20"/>
    </w:rPr>
  </w:style>
  <w:style w:type="paragraph" w:styleId="Revision">
    <w:name w:val="Revision"/>
    <w:hidden/>
    <w:uiPriority w:val="99"/>
    <w:semiHidden/>
    <w:rsid w:val="008A3A31"/>
    <w:pPr>
      <w:spacing w:after="0" w:line="240" w:lineRule="auto"/>
    </w:pPr>
  </w:style>
  <w:style w:type="paragraph" w:styleId="FootnoteText">
    <w:name w:val="footnote text"/>
    <w:basedOn w:val="Normal"/>
    <w:link w:val="FootnoteTextChar"/>
    <w:uiPriority w:val="99"/>
    <w:unhideWhenUsed/>
    <w:rsid w:val="00337198"/>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337198"/>
    <w:rPr>
      <w:sz w:val="20"/>
      <w:szCs w:val="20"/>
      <w:lang w:val="en-US"/>
    </w:rPr>
  </w:style>
  <w:style w:type="character" w:styleId="FootnoteReference">
    <w:name w:val="footnote reference"/>
    <w:basedOn w:val="DefaultParagraphFont"/>
    <w:uiPriority w:val="99"/>
    <w:unhideWhenUsed/>
    <w:rsid w:val="003371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73955">
      <w:bodyDiv w:val="1"/>
      <w:marLeft w:val="0"/>
      <w:marRight w:val="0"/>
      <w:marTop w:val="0"/>
      <w:marBottom w:val="0"/>
      <w:divBdr>
        <w:top w:val="none" w:sz="0" w:space="0" w:color="auto"/>
        <w:left w:val="none" w:sz="0" w:space="0" w:color="auto"/>
        <w:bottom w:val="none" w:sz="0" w:space="0" w:color="auto"/>
        <w:right w:val="none" w:sz="0" w:space="0" w:color="auto"/>
      </w:divBdr>
    </w:div>
    <w:div w:id="162744272">
      <w:bodyDiv w:val="1"/>
      <w:marLeft w:val="0"/>
      <w:marRight w:val="0"/>
      <w:marTop w:val="0"/>
      <w:marBottom w:val="0"/>
      <w:divBdr>
        <w:top w:val="none" w:sz="0" w:space="0" w:color="auto"/>
        <w:left w:val="none" w:sz="0" w:space="0" w:color="auto"/>
        <w:bottom w:val="none" w:sz="0" w:space="0" w:color="auto"/>
        <w:right w:val="none" w:sz="0" w:space="0" w:color="auto"/>
      </w:divBdr>
    </w:div>
    <w:div w:id="320160696">
      <w:bodyDiv w:val="1"/>
      <w:marLeft w:val="0"/>
      <w:marRight w:val="0"/>
      <w:marTop w:val="0"/>
      <w:marBottom w:val="0"/>
      <w:divBdr>
        <w:top w:val="none" w:sz="0" w:space="0" w:color="auto"/>
        <w:left w:val="none" w:sz="0" w:space="0" w:color="auto"/>
        <w:bottom w:val="none" w:sz="0" w:space="0" w:color="auto"/>
        <w:right w:val="none" w:sz="0" w:space="0" w:color="auto"/>
      </w:divBdr>
    </w:div>
    <w:div w:id="1904170839">
      <w:bodyDiv w:val="1"/>
      <w:marLeft w:val="0"/>
      <w:marRight w:val="0"/>
      <w:marTop w:val="0"/>
      <w:marBottom w:val="0"/>
      <w:divBdr>
        <w:top w:val="none" w:sz="0" w:space="0" w:color="auto"/>
        <w:left w:val="none" w:sz="0" w:space="0" w:color="auto"/>
        <w:bottom w:val="none" w:sz="0" w:space="0" w:color="auto"/>
        <w:right w:val="none" w:sz="0" w:space="0" w:color="auto"/>
      </w:divBdr>
    </w:div>
    <w:div w:id="213347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da@unicef.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F9E09-495C-474A-82EE-38A2098E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2686</Words>
  <Characters>15315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de Groot</dc:creator>
  <cp:lastModifiedBy>Josephine Dariol</cp:lastModifiedBy>
  <cp:revision>2</cp:revision>
  <cp:lastPrinted>2015-09-14T09:40:00Z</cp:lastPrinted>
  <dcterms:created xsi:type="dcterms:W3CDTF">2015-11-05T10:21:00Z</dcterms:created>
  <dcterms:modified xsi:type="dcterms:W3CDTF">2015-11-05T10:21:00Z</dcterms:modified>
</cp:coreProperties>
</file>